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E6" w:rsidRDefault="00511E5D"/>
    <w:p w:rsidR="00511E5D" w:rsidRDefault="00511E5D"/>
    <w:p w:rsidR="00511E5D" w:rsidRDefault="00511E5D" w:rsidP="00511E5D"/>
    <w:tbl>
      <w:tblPr>
        <w:tblW w:w="5000" w:type="pct"/>
        <w:tblCellMar>
          <w:left w:w="0" w:type="dxa"/>
          <w:right w:w="0" w:type="dxa"/>
        </w:tblCellMar>
        <w:tblLook w:val="04A0" w:firstRow="1" w:lastRow="0" w:firstColumn="1" w:lastColumn="0" w:noHBand="0" w:noVBand="1"/>
      </w:tblPr>
      <w:tblGrid>
        <w:gridCol w:w="1890"/>
        <w:gridCol w:w="44"/>
        <w:gridCol w:w="43"/>
        <w:gridCol w:w="5"/>
        <w:gridCol w:w="735"/>
        <w:gridCol w:w="540"/>
        <w:gridCol w:w="582"/>
        <w:gridCol w:w="279"/>
        <w:gridCol w:w="206"/>
        <w:gridCol w:w="2566"/>
        <w:gridCol w:w="311"/>
        <w:gridCol w:w="356"/>
        <w:gridCol w:w="439"/>
        <w:gridCol w:w="269"/>
        <w:gridCol w:w="977"/>
      </w:tblGrid>
      <w:tr w:rsidR="00511E5D" w:rsidTr="00511E5D">
        <w:tc>
          <w:tcPr>
            <w:tcW w:w="1029" w:type="pct"/>
            <w:gridSpan w:val="4"/>
            <w:tcMar>
              <w:top w:w="0" w:type="dxa"/>
              <w:left w:w="108" w:type="dxa"/>
              <w:bottom w:w="0" w:type="dxa"/>
              <w:right w:w="108" w:type="dxa"/>
            </w:tcMar>
            <w:hideMark/>
          </w:tcPr>
          <w:p w:rsidR="00511E5D" w:rsidRDefault="00511E5D">
            <w:hyperlink r:id="rId6" w:tgtFrame="_blank" w:history="1">
              <w:r>
                <w:rPr>
                  <w:rStyle w:val="Hyperlink"/>
                  <w:rFonts w:ascii="Arial" w:hAnsi="Arial" w:cs="Arial"/>
                  <w:b/>
                  <w:bCs/>
                  <w:sz w:val="28"/>
                  <w:szCs w:val="28"/>
                </w:rPr>
                <w:t>Digital Learning News</w:t>
              </w:r>
            </w:hyperlink>
          </w:p>
          <w:p w:rsidR="00511E5D" w:rsidRDefault="00511E5D">
            <w:pPr>
              <w:rPr>
                <w:sz w:val="20"/>
                <w:szCs w:val="20"/>
                <w:lang w:eastAsia="en-AU"/>
              </w:rPr>
            </w:pPr>
            <w:r>
              <w:rPr>
                <w:color w:val="000000"/>
                <w:sz w:val="20"/>
                <w:szCs w:val="20"/>
                <w:lang w:eastAsia="en-AU"/>
              </w:rPr>
              <w:t> </w:t>
            </w:r>
          </w:p>
          <w:p w:rsidR="00511E5D" w:rsidRDefault="00511E5D">
            <w:r>
              <w:rPr>
                <w:color w:val="1F497D"/>
                <w:sz w:val="28"/>
                <w:szCs w:val="28"/>
                <w:lang w:eastAsia="en-AU"/>
              </w:rPr>
              <w:t>22</w:t>
            </w:r>
            <w:r>
              <w:rPr>
                <w:color w:val="1F497D"/>
                <w:sz w:val="28"/>
                <w:szCs w:val="28"/>
                <w:vertAlign w:val="superscript"/>
                <w:lang w:eastAsia="en-AU"/>
              </w:rPr>
              <w:t>nd</w:t>
            </w:r>
            <w:r>
              <w:rPr>
                <w:color w:val="1F497D"/>
                <w:sz w:val="28"/>
                <w:szCs w:val="28"/>
                <w:lang w:eastAsia="en-AU"/>
              </w:rPr>
              <w:t xml:space="preserve"> October 2014</w:t>
            </w:r>
          </w:p>
        </w:tc>
        <w:tc>
          <w:tcPr>
            <w:tcW w:w="3971" w:type="pct"/>
            <w:gridSpan w:val="11"/>
            <w:tcMar>
              <w:top w:w="0" w:type="dxa"/>
              <w:left w:w="108" w:type="dxa"/>
              <w:bottom w:w="0" w:type="dxa"/>
              <w:right w:w="108" w:type="dxa"/>
            </w:tcMar>
            <w:hideMark/>
          </w:tcPr>
          <w:p w:rsidR="00511E5D" w:rsidRDefault="00511E5D">
            <w:r>
              <w:rPr>
                <w:noProof/>
                <w:sz w:val="20"/>
                <w:szCs w:val="20"/>
                <w:lang w:eastAsia="en-AU"/>
              </w:rPr>
              <w:drawing>
                <wp:inline distT="0" distB="0" distL="0" distR="0" wp14:anchorId="14094B91" wp14:editId="43A4B026">
                  <wp:extent cx="5375910" cy="1085215"/>
                  <wp:effectExtent l="0" t="0" r="0" b="635"/>
                  <wp:docPr id="8" name="Picture 8"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5910" cy="1085215"/>
                          </a:xfrm>
                          <a:prstGeom prst="rect">
                            <a:avLst/>
                          </a:prstGeom>
                          <a:noFill/>
                          <a:ln>
                            <a:noFill/>
                          </a:ln>
                        </pic:spPr>
                      </pic:pic>
                    </a:graphicData>
                  </a:graphic>
                </wp:inline>
              </w:drawing>
            </w:r>
          </w:p>
        </w:tc>
      </w:tr>
      <w:tr w:rsidR="00511E5D" w:rsidTr="00511E5D">
        <w:tc>
          <w:tcPr>
            <w:tcW w:w="5000" w:type="pct"/>
            <w:gridSpan w:val="15"/>
            <w:tcMar>
              <w:top w:w="0" w:type="dxa"/>
              <w:left w:w="108" w:type="dxa"/>
              <w:bottom w:w="0" w:type="dxa"/>
              <w:right w:w="108" w:type="dxa"/>
            </w:tcMar>
          </w:tcPr>
          <w:p w:rsidR="00511E5D" w:rsidRDefault="00511E5D">
            <w:pPr>
              <w:rPr>
                <w:color w:val="1F497D"/>
                <w:lang w:eastAsia="en-AU"/>
              </w:rPr>
            </w:pPr>
            <w:r>
              <w:rPr>
                <w:color w:val="1F497D"/>
                <w:lang w:eastAsia="en-AU"/>
              </w:rPr>
              <w:t>Hi everyone</w:t>
            </w:r>
          </w:p>
          <w:p w:rsidR="00511E5D" w:rsidRDefault="00511E5D">
            <w:pPr>
              <w:rPr>
                <w:color w:val="1F497D"/>
                <w:lang w:eastAsia="en-AU"/>
              </w:rPr>
            </w:pPr>
            <w:r>
              <w:rPr>
                <w:color w:val="1F497D"/>
                <w:lang w:eastAsia="en-AU"/>
              </w:rPr>
              <w:t xml:space="preserve">I hope you have settled well into the new term. This month we have an exciting event happening at ACMI. Michael </w:t>
            </w:r>
            <w:proofErr w:type="spellStart"/>
            <w:r>
              <w:rPr>
                <w:color w:val="1F497D"/>
                <w:lang w:eastAsia="en-AU"/>
              </w:rPr>
              <w:t>Fullan</w:t>
            </w:r>
            <w:proofErr w:type="spellEnd"/>
            <w:r>
              <w:rPr>
                <w:color w:val="1F497D"/>
                <w:lang w:eastAsia="en-AU"/>
              </w:rPr>
              <w:t xml:space="preserve"> will be visiting our shores to present on </w:t>
            </w:r>
            <w:r>
              <w:rPr>
                <w:i/>
                <w:iCs/>
                <w:color w:val="1F497D"/>
                <w:lang w:eastAsia="en-AU"/>
              </w:rPr>
              <w:t>New Pedagogies for Deep Learning – a Global Partnership</w:t>
            </w:r>
            <w:r>
              <w:rPr>
                <w:color w:val="1F497D"/>
                <w:lang w:eastAsia="en-AU"/>
              </w:rPr>
              <w:t xml:space="preserve"> at ACMI on Wednesday 29</w:t>
            </w:r>
            <w:r>
              <w:rPr>
                <w:color w:val="1F497D"/>
                <w:vertAlign w:val="superscript"/>
                <w:lang w:eastAsia="en-AU"/>
              </w:rPr>
              <w:t>th</w:t>
            </w:r>
            <w:r>
              <w:rPr>
                <w:color w:val="1F497D"/>
                <w:lang w:eastAsia="en-AU"/>
              </w:rPr>
              <w:t xml:space="preserve"> October. See this week’s blog post for more information. </w:t>
            </w:r>
          </w:p>
          <w:p w:rsidR="00511E5D" w:rsidRDefault="00511E5D">
            <w:pPr>
              <w:rPr>
                <w:color w:val="1F497D"/>
                <w:lang w:eastAsia="en-AU"/>
              </w:rPr>
            </w:pPr>
            <w:r>
              <w:rPr>
                <w:color w:val="1F497D"/>
                <w:lang w:eastAsia="en-AU"/>
              </w:rPr>
              <w:t>Have a good week!</w:t>
            </w:r>
          </w:p>
          <w:p w:rsidR="00511E5D" w:rsidRDefault="00511E5D"/>
        </w:tc>
      </w:tr>
      <w:tr w:rsidR="00511E5D" w:rsidTr="00511E5D">
        <w:tc>
          <w:tcPr>
            <w:tcW w:w="5000" w:type="pct"/>
            <w:gridSpan w:val="15"/>
            <w:tcMar>
              <w:top w:w="0" w:type="dxa"/>
              <w:left w:w="108" w:type="dxa"/>
              <w:bottom w:w="0" w:type="dxa"/>
              <w:right w:w="108" w:type="dxa"/>
            </w:tcMar>
            <w:hideMark/>
          </w:tcPr>
          <w:p w:rsidR="00511E5D" w:rsidRDefault="00511E5D">
            <w:pPr>
              <w:rPr>
                <w:rFonts w:ascii="Times New Roman" w:eastAsia="Times New Roman" w:hAnsi="Times New Roman"/>
                <w:sz w:val="20"/>
                <w:szCs w:val="20"/>
                <w:lang w:eastAsia="en-AU"/>
              </w:rPr>
            </w:pPr>
          </w:p>
        </w:tc>
      </w:tr>
      <w:tr w:rsidR="00511E5D" w:rsidTr="00511E5D">
        <w:tc>
          <w:tcPr>
            <w:tcW w:w="5000" w:type="pct"/>
            <w:gridSpan w:val="15"/>
            <w:tcMar>
              <w:top w:w="0" w:type="dxa"/>
              <w:left w:w="108" w:type="dxa"/>
              <w:bottom w:w="0" w:type="dxa"/>
              <w:right w:w="108" w:type="dxa"/>
            </w:tcMar>
            <w:hideMark/>
          </w:tcPr>
          <w:p w:rsidR="00511E5D" w:rsidRDefault="00511E5D">
            <w:pPr>
              <w:rPr>
                <w:b/>
                <w:bCs/>
                <w:color w:val="1F497D"/>
                <w:sz w:val="28"/>
                <w:szCs w:val="28"/>
                <w:lang w:eastAsia="en-AU"/>
              </w:rPr>
            </w:pPr>
            <w:r>
              <w:rPr>
                <w:b/>
                <w:bCs/>
                <w:color w:val="1F497D"/>
                <w:sz w:val="28"/>
                <w:szCs w:val="28"/>
                <w:lang w:eastAsia="en-AU"/>
              </w:rPr>
              <w:t>This Weeks Blog Posts</w:t>
            </w:r>
          </w:p>
        </w:tc>
      </w:tr>
      <w:tr w:rsidR="00511E5D" w:rsidTr="00511E5D">
        <w:tc>
          <w:tcPr>
            <w:tcW w:w="1021" w:type="pct"/>
            <w:tcMar>
              <w:top w:w="0" w:type="dxa"/>
              <w:left w:w="108" w:type="dxa"/>
              <w:bottom w:w="0" w:type="dxa"/>
              <w:right w:w="108" w:type="dxa"/>
            </w:tcMar>
            <w:vAlign w:val="center"/>
          </w:tcPr>
          <w:p w:rsidR="00511E5D" w:rsidRDefault="00511E5D">
            <w:pPr>
              <w:jc w:val="center"/>
              <w:rPr>
                <w:lang w:eastAsia="en-AU"/>
              </w:rPr>
            </w:pPr>
            <w:r>
              <w:rPr>
                <w:noProof/>
                <w:lang w:eastAsia="en-AU"/>
              </w:rPr>
              <w:drawing>
                <wp:inline distT="0" distB="0" distL="0" distR="0" wp14:anchorId="20067DAB" wp14:editId="340FD71F">
                  <wp:extent cx="1245870" cy="633095"/>
                  <wp:effectExtent l="0" t="0" r="0" b="0"/>
                  <wp:docPr id="7" name="Picture 7" descr="cid:image005.png@01CFEE1D.6C72D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5.png@01CFEE1D.6C72D1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45870" cy="633095"/>
                          </a:xfrm>
                          <a:prstGeom prst="rect">
                            <a:avLst/>
                          </a:prstGeom>
                          <a:noFill/>
                          <a:ln>
                            <a:noFill/>
                          </a:ln>
                        </pic:spPr>
                      </pic:pic>
                    </a:graphicData>
                  </a:graphic>
                </wp:inline>
              </w:drawing>
            </w:r>
          </w:p>
          <w:p w:rsidR="00511E5D" w:rsidRDefault="00511E5D">
            <w:pPr>
              <w:rPr>
                <w:lang w:eastAsia="en-AU"/>
              </w:rPr>
            </w:pPr>
          </w:p>
        </w:tc>
        <w:tc>
          <w:tcPr>
            <w:tcW w:w="3979" w:type="pct"/>
            <w:gridSpan w:val="14"/>
            <w:tcMar>
              <w:top w:w="0" w:type="dxa"/>
              <w:left w:w="108" w:type="dxa"/>
              <w:bottom w:w="0" w:type="dxa"/>
              <w:right w:w="108" w:type="dxa"/>
            </w:tcMar>
            <w:hideMark/>
          </w:tcPr>
          <w:p w:rsidR="00511E5D" w:rsidRDefault="00511E5D">
            <w:pPr>
              <w:rPr>
                <w:rFonts w:ascii="Times New Roman" w:hAnsi="Times New Roman"/>
                <w:sz w:val="20"/>
                <w:szCs w:val="20"/>
                <w:lang w:eastAsia="en-AU"/>
              </w:rPr>
            </w:pPr>
            <w:r>
              <w:rPr>
                <w:color w:val="1F497D"/>
                <w:lang w:eastAsia="en-AU"/>
              </w:rPr>
              <w:t xml:space="preserve">Across Victoria, a number of schools are involved in the New Pedagogies for Deep Learning program. This exciting program is a global partnership that focuses on implementing deep learning goals across whole education systems to enable new pedagogies accelerated by technology. </w:t>
            </w:r>
            <w:hyperlink r:id="rId11" w:history="1">
              <w:r>
                <w:rPr>
                  <w:rStyle w:val="Hyperlink"/>
                  <w:i/>
                  <w:iCs/>
                </w:rPr>
                <w:t>Read more…</w:t>
              </w:r>
            </w:hyperlink>
          </w:p>
        </w:tc>
      </w:tr>
      <w:tr w:rsidR="00511E5D" w:rsidTr="00511E5D">
        <w:tc>
          <w:tcPr>
            <w:tcW w:w="1021" w:type="pct"/>
            <w:tcMar>
              <w:top w:w="0" w:type="dxa"/>
              <w:left w:w="108" w:type="dxa"/>
              <w:bottom w:w="0" w:type="dxa"/>
              <w:right w:w="108" w:type="dxa"/>
            </w:tcMar>
            <w:vAlign w:val="center"/>
            <w:hideMark/>
          </w:tcPr>
          <w:p w:rsidR="00511E5D" w:rsidRDefault="00511E5D">
            <w:pPr>
              <w:rPr>
                <w:rFonts w:ascii="Times New Roman" w:eastAsia="Times New Roman" w:hAnsi="Times New Roman"/>
                <w:sz w:val="20"/>
                <w:szCs w:val="20"/>
                <w:lang w:eastAsia="en-AU"/>
              </w:rPr>
            </w:pPr>
          </w:p>
        </w:tc>
        <w:tc>
          <w:tcPr>
            <w:tcW w:w="3979" w:type="pct"/>
            <w:gridSpan w:val="14"/>
            <w:tcMar>
              <w:top w:w="0" w:type="dxa"/>
              <w:left w:w="108" w:type="dxa"/>
              <w:bottom w:w="0" w:type="dxa"/>
              <w:right w:w="108" w:type="dxa"/>
            </w:tcMar>
            <w:hideMark/>
          </w:tcPr>
          <w:p w:rsidR="00511E5D" w:rsidRDefault="00511E5D">
            <w:pPr>
              <w:rPr>
                <w:rFonts w:ascii="Times New Roman" w:eastAsia="Times New Roman" w:hAnsi="Times New Roman"/>
                <w:sz w:val="20"/>
                <w:szCs w:val="20"/>
                <w:lang w:eastAsia="en-AU"/>
              </w:rPr>
            </w:pPr>
          </w:p>
        </w:tc>
      </w:tr>
      <w:tr w:rsidR="00511E5D" w:rsidTr="00511E5D">
        <w:tc>
          <w:tcPr>
            <w:tcW w:w="1021" w:type="pct"/>
            <w:tcMar>
              <w:top w:w="0" w:type="dxa"/>
              <w:left w:w="108" w:type="dxa"/>
              <w:bottom w:w="0" w:type="dxa"/>
              <w:right w:w="108" w:type="dxa"/>
            </w:tcMar>
            <w:vAlign w:val="center"/>
            <w:hideMark/>
          </w:tcPr>
          <w:p w:rsidR="00511E5D" w:rsidRDefault="00511E5D">
            <w:pPr>
              <w:rPr>
                <w:rFonts w:ascii="Times New Roman" w:eastAsia="Times New Roman" w:hAnsi="Times New Roman"/>
                <w:sz w:val="20"/>
                <w:szCs w:val="20"/>
                <w:lang w:eastAsia="en-AU"/>
              </w:rPr>
            </w:pPr>
          </w:p>
        </w:tc>
        <w:tc>
          <w:tcPr>
            <w:tcW w:w="3979" w:type="pct"/>
            <w:gridSpan w:val="14"/>
            <w:tcMar>
              <w:top w:w="0" w:type="dxa"/>
              <w:left w:w="108" w:type="dxa"/>
              <w:bottom w:w="0" w:type="dxa"/>
              <w:right w:w="108" w:type="dxa"/>
            </w:tcMar>
            <w:hideMark/>
          </w:tcPr>
          <w:p w:rsidR="00511E5D" w:rsidRDefault="00511E5D">
            <w:pPr>
              <w:rPr>
                <w:rFonts w:ascii="Times New Roman" w:eastAsia="Times New Roman" w:hAnsi="Times New Roman"/>
                <w:sz w:val="20"/>
                <w:szCs w:val="20"/>
                <w:lang w:eastAsia="en-AU"/>
              </w:rPr>
            </w:pPr>
          </w:p>
        </w:tc>
      </w:tr>
      <w:tr w:rsidR="00511E5D" w:rsidTr="00511E5D">
        <w:tc>
          <w:tcPr>
            <w:tcW w:w="5000" w:type="pct"/>
            <w:gridSpan w:val="15"/>
            <w:shd w:val="clear" w:color="auto" w:fill="F79646"/>
            <w:tcMar>
              <w:top w:w="0" w:type="dxa"/>
              <w:left w:w="108" w:type="dxa"/>
              <w:bottom w:w="0" w:type="dxa"/>
              <w:right w:w="108" w:type="dxa"/>
            </w:tcMar>
          </w:tcPr>
          <w:p w:rsidR="00511E5D" w:rsidRDefault="00511E5D">
            <w:proofErr w:type="spellStart"/>
            <w:r>
              <w:rPr>
                <w:b/>
                <w:bCs/>
                <w:color w:val="FFFFFF"/>
                <w:sz w:val="28"/>
                <w:szCs w:val="28"/>
                <w:lang w:eastAsia="en-AU"/>
              </w:rPr>
              <w:t>Polycom</w:t>
            </w:r>
            <w:proofErr w:type="spellEnd"/>
            <w:r>
              <w:rPr>
                <w:b/>
                <w:bCs/>
                <w:color w:val="FFFFFF"/>
                <w:sz w:val="28"/>
                <w:szCs w:val="28"/>
                <w:lang w:eastAsia="en-AU"/>
              </w:rPr>
              <w:t xml:space="preserve"> News </w:t>
            </w:r>
          </w:p>
          <w:p w:rsidR="00511E5D" w:rsidRDefault="00511E5D"/>
        </w:tc>
      </w:tr>
      <w:tr w:rsidR="00511E5D" w:rsidTr="00511E5D">
        <w:tc>
          <w:tcPr>
            <w:tcW w:w="5000" w:type="pct"/>
            <w:gridSpan w:val="15"/>
            <w:shd w:val="clear" w:color="auto" w:fill="DBE5F1"/>
            <w:tcMar>
              <w:top w:w="0" w:type="dxa"/>
              <w:left w:w="108" w:type="dxa"/>
              <w:bottom w:w="0" w:type="dxa"/>
              <w:right w:w="108" w:type="dxa"/>
            </w:tcMar>
          </w:tcPr>
          <w:p w:rsidR="00511E5D" w:rsidRDefault="00511E5D">
            <w:pPr>
              <w:pStyle w:val="Heading2"/>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Upcoming events from </w:t>
            </w:r>
            <w:proofErr w:type="spellStart"/>
            <w:r>
              <w:rPr>
                <w:rFonts w:ascii="Calibri" w:eastAsia="Times New Roman" w:hAnsi="Calibri"/>
                <w:b w:val="0"/>
                <w:bCs w:val="0"/>
                <w:color w:val="1F497D"/>
                <w:sz w:val="22"/>
                <w:szCs w:val="22"/>
                <w:lang w:eastAsia="en-US"/>
              </w:rPr>
              <w:t>Electroboard</w:t>
            </w:r>
            <w:proofErr w:type="spellEnd"/>
          </w:p>
          <w:p w:rsidR="00511E5D" w:rsidRDefault="00511E5D" w:rsidP="005D5595">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23 Oct: </w:t>
            </w:r>
            <w:hyperlink r:id="rId12" w:history="1">
              <w:r>
                <w:rPr>
                  <w:rStyle w:val="Hyperlink"/>
                  <w:rFonts w:ascii="Calibri" w:eastAsia="Times New Roman" w:hAnsi="Calibri"/>
                  <w:b w:val="0"/>
                  <w:bCs w:val="0"/>
                  <w:sz w:val="22"/>
                  <w:szCs w:val="22"/>
                  <w:lang w:eastAsia="en-US"/>
                </w:rPr>
                <w:t>Sustainable Actions – National Water Week</w:t>
              </w:r>
            </w:hyperlink>
            <w:r>
              <w:rPr>
                <w:rFonts w:ascii="Calibri" w:eastAsia="Times New Roman" w:hAnsi="Calibri"/>
                <w:b w:val="0"/>
                <w:bCs w:val="0"/>
                <w:color w:val="1F497D"/>
                <w:sz w:val="22"/>
                <w:szCs w:val="22"/>
                <w:lang w:eastAsia="en-US"/>
              </w:rPr>
              <w:t>, various times F-2</w:t>
            </w:r>
          </w:p>
          <w:p w:rsidR="00511E5D" w:rsidRDefault="00511E5D" w:rsidP="005D5595">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29 Oct: </w:t>
            </w:r>
            <w:hyperlink r:id="rId13" w:history="1">
              <w:r>
                <w:rPr>
                  <w:rStyle w:val="Hyperlink"/>
                  <w:rFonts w:ascii="Calibri" w:eastAsia="Times New Roman" w:hAnsi="Calibri"/>
                  <w:b w:val="0"/>
                  <w:bCs w:val="0"/>
                  <w:sz w:val="22"/>
                  <w:szCs w:val="22"/>
                  <w:lang w:eastAsia="en-US"/>
                </w:rPr>
                <w:t>Persuasive Writing with the Day the Crayons Quit</w:t>
              </w:r>
            </w:hyperlink>
            <w:r>
              <w:rPr>
                <w:rFonts w:ascii="Calibri" w:eastAsia="Times New Roman" w:hAnsi="Calibri"/>
                <w:b w:val="0"/>
                <w:bCs w:val="0"/>
                <w:color w:val="1F497D"/>
                <w:sz w:val="22"/>
                <w:szCs w:val="22"/>
                <w:lang w:eastAsia="en-US"/>
              </w:rPr>
              <w:t>, 11:00 – 12:00, Year 3</w:t>
            </w:r>
          </w:p>
          <w:p w:rsidR="00511E5D" w:rsidRDefault="00511E5D" w:rsidP="005D5595">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5 Nov: </w:t>
            </w:r>
            <w:hyperlink r:id="rId14" w:history="1">
              <w:r>
                <w:rPr>
                  <w:rStyle w:val="Hyperlink"/>
                  <w:rFonts w:ascii="Calibri" w:eastAsia="Times New Roman" w:hAnsi="Calibri"/>
                  <w:b w:val="0"/>
                  <w:bCs w:val="0"/>
                  <w:sz w:val="22"/>
                  <w:szCs w:val="22"/>
                  <w:lang w:eastAsia="en-US"/>
                </w:rPr>
                <w:t>Creating Writing Workshop: Setting a Plot</w:t>
              </w:r>
            </w:hyperlink>
            <w:r>
              <w:rPr>
                <w:rFonts w:ascii="Calibri" w:eastAsia="Times New Roman" w:hAnsi="Calibri"/>
                <w:b w:val="0"/>
                <w:bCs w:val="0"/>
                <w:color w:val="1F497D"/>
                <w:sz w:val="22"/>
                <w:szCs w:val="22"/>
                <w:lang w:eastAsia="en-US"/>
              </w:rPr>
              <w:t>, 11:15 – 12:00, Years 5-6</w:t>
            </w:r>
          </w:p>
          <w:p w:rsidR="00511E5D" w:rsidRDefault="00511E5D" w:rsidP="005D5595">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12 Nov: </w:t>
            </w:r>
            <w:hyperlink r:id="rId15" w:history="1">
              <w:r>
                <w:rPr>
                  <w:rStyle w:val="Hyperlink"/>
                  <w:rFonts w:ascii="Calibri" w:eastAsia="Times New Roman" w:hAnsi="Calibri"/>
                  <w:b w:val="0"/>
                  <w:bCs w:val="0"/>
                  <w:sz w:val="22"/>
                  <w:szCs w:val="22"/>
                  <w:lang w:eastAsia="en-US"/>
                </w:rPr>
                <w:t>Exploring Character with Skulduggery Pleasant</w:t>
              </w:r>
            </w:hyperlink>
            <w:r>
              <w:rPr>
                <w:rFonts w:ascii="Calibri" w:eastAsia="Times New Roman" w:hAnsi="Calibri"/>
                <w:b w:val="0"/>
                <w:bCs w:val="0"/>
                <w:color w:val="1F497D"/>
                <w:sz w:val="22"/>
                <w:szCs w:val="22"/>
                <w:lang w:eastAsia="en-US"/>
              </w:rPr>
              <w:t>, 11:15 – 12:00, Years 5-6</w:t>
            </w:r>
          </w:p>
          <w:p w:rsidR="00511E5D" w:rsidRDefault="00511E5D">
            <w:pPr>
              <w:pStyle w:val="Heading2"/>
              <w:spacing w:before="0" w:beforeAutospacing="0" w:after="0" w:afterAutospacing="0"/>
              <w:rPr>
                <w:rFonts w:ascii="Calibri" w:eastAsia="Times New Roman" w:hAnsi="Calibri"/>
                <w:b w:val="0"/>
                <w:bCs w:val="0"/>
                <w:color w:val="1F497D"/>
                <w:sz w:val="22"/>
                <w:szCs w:val="22"/>
                <w:lang w:eastAsia="en-US"/>
              </w:rPr>
            </w:pPr>
          </w:p>
          <w:p w:rsidR="00511E5D" w:rsidRDefault="00511E5D">
            <w:pPr>
              <w:pStyle w:val="Heading2"/>
              <w:spacing w:before="0" w:beforeAutospacing="0" w:after="0" w:afterAutospacing="0"/>
              <w:rPr>
                <w:rFonts w:ascii="Calibri" w:eastAsia="Times New Roman" w:hAnsi="Calibri"/>
                <w:b w:val="0"/>
                <w:bCs w:val="0"/>
                <w:i/>
                <w:iCs/>
                <w:color w:val="1F497D"/>
                <w:sz w:val="22"/>
                <w:szCs w:val="22"/>
                <w:lang w:eastAsia="en-US"/>
              </w:rPr>
            </w:pPr>
            <w:r>
              <w:rPr>
                <w:rFonts w:ascii="Calibri" w:eastAsia="Times New Roman" w:hAnsi="Calibri"/>
                <w:b w:val="0"/>
                <w:bCs w:val="0"/>
                <w:i/>
                <w:iCs/>
                <w:color w:val="1F497D"/>
                <w:sz w:val="22"/>
                <w:szCs w:val="22"/>
                <w:lang w:eastAsia="en-US"/>
              </w:rPr>
              <w:t xml:space="preserve">See the </w:t>
            </w:r>
            <w:hyperlink r:id="rId16" w:history="1">
              <w:r>
                <w:rPr>
                  <w:rStyle w:val="Hyperlink"/>
                  <w:rFonts w:ascii="Calibri" w:eastAsia="Times New Roman" w:hAnsi="Calibri"/>
                  <w:b w:val="0"/>
                  <w:bCs w:val="0"/>
                  <w:i/>
                  <w:iCs/>
                  <w:color w:val="1F497D"/>
                  <w:sz w:val="22"/>
                  <w:szCs w:val="22"/>
                  <w:lang w:eastAsia="en-US"/>
                </w:rPr>
                <w:t>See, Share, Shape</w:t>
              </w:r>
            </w:hyperlink>
            <w:r>
              <w:rPr>
                <w:rFonts w:ascii="Calibri" w:eastAsia="Times New Roman" w:hAnsi="Calibri"/>
                <w:b w:val="0"/>
                <w:bCs w:val="0"/>
                <w:i/>
                <w:iCs/>
                <w:color w:val="1F497D"/>
                <w:sz w:val="22"/>
                <w:szCs w:val="22"/>
                <w:lang w:eastAsia="en-US"/>
              </w:rPr>
              <w:t xml:space="preserve"> website for more Virtual Excursions</w:t>
            </w:r>
          </w:p>
          <w:p w:rsidR="00511E5D" w:rsidRDefault="00511E5D">
            <w:pPr>
              <w:pStyle w:val="Heading2"/>
              <w:spacing w:before="0" w:beforeAutospacing="0" w:after="0" w:afterAutospacing="0"/>
              <w:rPr>
                <w:rFonts w:ascii="Calibri" w:eastAsia="Times New Roman" w:hAnsi="Calibri"/>
                <w:b w:val="0"/>
                <w:bCs w:val="0"/>
                <w:i/>
                <w:iCs/>
                <w:color w:val="1F497D"/>
                <w:sz w:val="22"/>
                <w:szCs w:val="22"/>
                <w:lang w:eastAsia="en-US"/>
              </w:rPr>
            </w:pPr>
          </w:p>
          <w:p w:rsidR="00511E5D" w:rsidRDefault="00511E5D">
            <w:pPr>
              <w:pStyle w:val="Heading2"/>
              <w:spacing w:before="0" w:beforeAutospacing="0" w:after="0" w:afterAutospacing="0"/>
              <w:rPr>
                <w:rFonts w:ascii="Calibri" w:eastAsia="Times New Roman" w:hAnsi="Calibri"/>
                <w:b w:val="0"/>
                <w:bCs w:val="0"/>
                <w:color w:val="1F497D"/>
                <w:sz w:val="22"/>
                <w:szCs w:val="22"/>
                <w:lang w:eastAsia="en-US"/>
              </w:rPr>
            </w:pPr>
          </w:p>
          <w:p w:rsidR="00511E5D" w:rsidRDefault="00511E5D">
            <w:pPr>
              <w:pStyle w:val="Heading2"/>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Help with </w:t>
            </w:r>
            <w:proofErr w:type="spellStart"/>
            <w:r>
              <w:rPr>
                <w:rFonts w:ascii="Calibri" w:eastAsia="Times New Roman" w:hAnsi="Calibri"/>
                <w:b w:val="0"/>
                <w:bCs w:val="0"/>
                <w:color w:val="1F497D"/>
                <w:sz w:val="22"/>
                <w:szCs w:val="22"/>
                <w:lang w:eastAsia="en-US"/>
              </w:rPr>
              <w:t>Polycom</w:t>
            </w:r>
            <w:proofErr w:type="spellEnd"/>
          </w:p>
          <w:p w:rsidR="00511E5D" w:rsidRDefault="00511E5D" w:rsidP="005D5595">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Virtual Learning Senior Project Officers, Jo Tate (</w:t>
            </w:r>
            <w:hyperlink r:id="rId17" w:history="1">
              <w:r>
                <w:rPr>
                  <w:rStyle w:val="Hyperlink"/>
                  <w:rFonts w:ascii="Calibri" w:eastAsia="Times New Roman" w:hAnsi="Calibri"/>
                  <w:b w:val="0"/>
                  <w:bCs w:val="0"/>
                  <w:sz w:val="22"/>
                  <w:szCs w:val="22"/>
                  <w:lang w:eastAsia="en-US"/>
                </w:rPr>
                <w:t>tate.joanne.e@edumail.vic.gov.au</w:t>
              </w:r>
            </w:hyperlink>
            <w:r>
              <w:rPr>
                <w:rFonts w:ascii="Calibri" w:eastAsia="Times New Roman" w:hAnsi="Calibri"/>
                <w:b w:val="0"/>
                <w:bCs w:val="0"/>
                <w:color w:val="1F497D"/>
                <w:sz w:val="22"/>
                <w:szCs w:val="22"/>
                <w:lang w:eastAsia="en-US"/>
              </w:rPr>
              <w:t>) and Butch (Gary) Schultz (</w:t>
            </w:r>
            <w:hyperlink r:id="rId18" w:history="1">
              <w:r>
                <w:rPr>
                  <w:rStyle w:val="Hyperlink"/>
                  <w:rFonts w:ascii="Calibri" w:eastAsia="Times New Roman" w:hAnsi="Calibri"/>
                  <w:b w:val="0"/>
                  <w:bCs w:val="0"/>
                  <w:sz w:val="22"/>
                  <w:szCs w:val="22"/>
                  <w:lang w:eastAsia="en-US"/>
                </w:rPr>
                <w:t>schultz.gary.e@edumail.vic.gov.au</w:t>
              </w:r>
            </w:hyperlink>
            <w:r>
              <w:rPr>
                <w:rFonts w:ascii="Calibri" w:eastAsia="Times New Roman" w:hAnsi="Calibri"/>
                <w:b w:val="0"/>
                <w:bCs w:val="0"/>
                <w:color w:val="1F497D"/>
                <w:sz w:val="22"/>
                <w:szCs w:val="22"/>
                <w:lang w:eastAsia="en-US"/>
              </w:rPr>
              <w:t>) support the development of blended learning across Victoria.</w:t>
            </w:r>
          </w:p>
          <w:p w:rsidR="00511E5D" w:rsidRDefault="00511E5D" w:rsidP="005D5595">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As part of Connected Educator Month, the event ‘Learning Adventures with </w:t>
            </w:r>
            <w:proofErr w:type="spellStart"/>
            <w:r>
              <w:rPr>
                <w:rFonts w:ascii="Calibri" w:eastAsia="Times New Roman" w:hAnsi="Calibri"/>
                <w:b w:val="0"/>
                <w:bCs w:val="0"/>
                <w:color w:val="1F497D"/>
                <w:sz w:val="22"/>
                <w:szCs w:val="22"/>
                <w:lang w:eastAsia="en-US"/>
              </w:rPr>
              <w:t>Polycom</w:t>
            </w:r>
            <w:proofErr w:type="spellEnd"/>
            <w:r>
              <w:rPr>
                <w:rFonts w:ascii="Calibri" w:eastAsia="Times New Roman" w:hAnsi="Calibri"/>
                <w:b w:val="0"/>
                <w:bCs w:val="0"/>
                <w:color w:val="1F497D"/>
                <w:sz w:val="22"/>
                <w:szCs w:val="22"/>
                <w:lang w:eastAsia="en-US"/>
              </w:rPr>
              <w:t xml:space="preserve"> Videoconferencing Equipment’ is scheduled for 3.30pm – 4.30pm, Wednesday, 22nd October (today!), introducing Jenny Evans from Timboon P-12. . This event is aimed and limited to DEECD </w:t>
            </w:r>
            <w:proofErr w:type="spellStart"/>
            <w:r>
              <w:rPr>
                <w:rFonts w:ascii="Calibri" w:eastAsia="Times New Roman" w:hAnsi="Calibri"/>
                <w:b w:val="0"/>
                <w:bCs w:val="0"/>
                <w:color w:val="1F497D"/>
                <w:sz w:val="22"/>
                <w:szCs w:val="22"/>
                <w:lang w:eastAsia="en-US"/>
              </w:rPr>
              <w:t>polycom</w:t>
            </w:r>
            <w:proofErr w:type="spellEnd"/>
            <w:r>
              <w:rPr>
                <w:rFonts w:ascii="Calibri" w:eastAsia="Times New Roman" w:hAnsi="Calibri"/>
                <w:b w:val="0"/>
                <w:bCs w:val="0"/>
                <w:color w:val="1F497D"/>
                <w:sz w:val="22"/>
                <w:szCs w:val="22"/>
                <w:lang w:eastAsia="en-US"/>
              </w:rPr>
              <w:t xml:space="preserve"> users. To sign up for the event, </w:t>
            </w:r>
            <w:hyperlink r:id="rId19" w:anchor=".VD23t2eSzzg" w:history="1">
              <w:r>
                <w:rPr>
                  <w:rStyle w:val="Hyperlink"/>
                  <w:rFonts w:ascii="Calibri" w:eastAsia="Times New Roman" w:hAnsi="Calibri"/>
                  <w:b w:val="0"/>
                  <w:bCs w:val="0"/>
                  <w:sz w:val="22"/>
                  <w:szCs w:val="22"/>
                  <w:lang w:eastAsia="en-US"/>
                </w:rPr>
                <w:t>click here</w:t>
              </w:r>
            </w:hyperlink>
            <w:r>
              <w:rPr>
                <w:rFonts w:ascii="Calibri" w:eastAsia="Times New Roman" w:hAnsi="Calibri"/>
                <w:b w:val="0"/>
                <w:bCs w:val="0"/>
                <w:color w:val="1F497D"/>
                <w:sz w:val="22"/>
                <w:szCs w:val="22"/>
                <w:lang w:eastAsia="en-US"/>
              </w:rPr>
              <w:t>.</w:t>
            </w:r>
          </w:p>
          <w:p w:rsidR="00511E5D" w:rsidRDefault="00511E5D" w:rsidP="005D5595">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DEECD’s </w:t>
            </w:r>
            <w:hyperlink r:id="rId20" w:history="1">
              <w:r>
                <w:rPr>
                  <w:rStyle w:val="Hyperlink"/>
                  <w:rFonts w:ascii="Calibri" w:eastAsia="Times New Roman" w:hAnsi="Calibri"/>
                  <w:b w:val="0"/>
                  <w:bCs w:val="0"/>
                  <w:sz w:val="22"/>
                  <w:szCs w:val="22"/>
                  <w:lang w:eastAsia="en-US"/>
                </w:rPr>
                <w:t>Virtual Conferencing</w:t>
              </w:r>
            </w:hyperlink>
            <w:r>
              <w:rPr>
                <w:rFonts w:ascii="Calibri" w:eastAsia="Times New Roman" w:hAnsi="Calibri"/>
                <w:b w:val="0"/>
                <w:bCs w:val="0"/>
                <w:color w:val="1F497D"/>
                <w:sz w:val="22"/>
                <w:szCs w:val="22"/>
                <w:lang w:eastAsia="en-US"/>
              </w:rPr>
              <w:t xml:space="preserve"> website</w:t>
            </w:r>
          </w:p>
          <w:p w:rsidR="00511E5D" w:rsidRDefault="00511E5D" w:rsidP="005D5595">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hyperlink r:id="rId21" w:history="1">
              <w:r>
                <w:rPr>
                  <w:rStyle w:val="Hyperlink"/>
                  <w:rFonts w:ascii="Calibri" w:eastAsia="Times New Roman" w:hAnsi="Calibri"/>
                  <w:b w:val="0"/>
                  <w:bCs w:val="0"/>
                  <w:sz w:val="22"/>
                  <w:szCs w:val="22"/>
                  <w:lang w:eastAsia="en-US"/>
                </w:rPr>
                <w:t>DEECD’s Virtual Conferencing booklet</w:t>
              </w:r>
            </w:hyperlink>
            <w:r>
              <w:rPr>
                <w:rFonts w:ascii="Calibri" w:eastAsia="Times New Roman" w:hAnsi="Calibri"/>
                <w:b w:val="0"/>
                <w:bCs w:val="0"/>
                <w:color w:val="1F497D"/>
                <w:sz w:val="22"/>
                <w:szCs w:val="22"/>
                <w:lang w:eastAsia="en-US"/>
              </w:rPr>
              <w:t xml:space="preserve"> outlines why, what and how virtual conferencing is being used in Victorian government schools. </w:t>
            </w:r>
          </w:p>
          <w:p w:rsidR="00511E5D" w:rsidRDefault="00511E5D" w:rsidP="005D5595">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To view the booklet in interactive format, see </w:t>
            </w:r>
            <w:hyperlink r:id="rId22" w:history="1">
              <w:r>
                <w:rPr>
                  <w:rStyle w:val="Hyperlink"/>
                  <w:rFonts w:ascii="Calibri" w:eastAsia="Times New Roman" w:hAnsi="Calibri"/>
                  <w:b w:val="0"/>
                  <w:bCs w:val="0"/>
                  <w:sz w:val="22"/>
                  <w:szCs w:val="22"/>
                  <w:lang w:eastAsia="en-US"/>
                </w:rPr>
                <w:t xml:space="preserve">‘Connecting to </w:t>
              </w:r>
              <w:proofErr w:type="gramStart"/>
              <w:r>
                <w:rPr>
                  <w:rStyle w:val="Hyperlink"/>
                  <w:rFonts w:ascii="Calibri" w:eastAsia="Times New Roman" w:hAnsi="Calibri"/>
                  <w:b w:val="0"/>
                  <w:bCs w:val="0"/>
                  <w:sz w:val="22"/>
                  <w:szCs w:val="22"/>
                  <w:lang w:eastAsia="en-US"/>
                </w:rPr>
                <w:t>Learn</w:t>
              </w:r>
              <w:proofErr w:type="gramEnd"/>
              <w:r>
                <w:rPr>
                  <w:rStyle w:val="Hyperlink"/>
                  <w:rFonts w:ascii="Calibri" w:eastAsia="Times New Roman" w:hAnsi="Calibri"/>
                  <w:b w:val="0"/>
                  <w:bCs w:val="0"/>
                  <w:sz w:val="22"/>
                  <w:szCs w:val="22"/>
                  <w:lang w:eastAsia="en-US"/>
                </w:rPr>
                <w:t xml:space="preserve"> – for students and teachers’</w:t>
              </w:r>
            </w:hyperlink>
            <w:r>
              <w:rPr>
                <w:rFonts w:ascii="Calibri" w:eastAsia="Times New Roman" w:hAnsi="Calibri"/>
                <w:b w:val="0"/>
                <w:bCs w:val="0"/>
                <w:color w:val="1F497D"/>
                <w:sz w:val="22"/>
                <w:szCs w:val="22"/>
                <w:lang w:eastAsia="en-US"/>
              </w:rPr>
              <w:t>.</w:t>
            </w:r>
          </w:p>
          <w:p w:rsidR="00511E5D" w:rsidRDefault="00511E5D" w:rsidP="005D5595">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Pr>
                <w:rFonts w:ascii="Calibri" w:eastAsia="Times New Roman" w:hAnsi="Calibri"/>
                <w:b w:val="0"/>
                <w:bCs w:val="0"/>
                <w:color w:val="1F497D"/>
                <w:sz w:val="22"/>
                <w:szCs w:val="22"/>
                <w:lang w:eastAsia="en-US"/>
              </w:rPr>
              <w:t xml:space="preserve">An article published in </w:t>
            </w:r>
            <w:proofErr w:type="spellStart"/>
            <w:r>
              <w:rPr>
                <w:rFonts w:ascii="Calibri" w:eastAsia="Times New Roman" w:hAnsi="Calibri"/>
                <w:b w:val="0"/>
                <w:bCs w:val="0"/>
                <w:color w:val="1F497D"/>
                <w:sz w:val="22"/>
                <w:szCs w:val="22"/>
                <w:lang w:eastAsia="en-US"/>
              </w:rPr>
              <w:t>Bastow’s</w:t>
            </w:r>
            <w:proofErr w:type="spellEnd"/>
            <w:r>
              <w:rPr>
                <w:rFonts w:ascii="Calibri" w:eastAsia="Times New Roman" w:hAnsi="Calibri"/>
                <w:b w:val="0"/>
                <w:bCs w:val="0"/>
                <w:color w:val="1F497D"/>
                <w:sz w:val="22"/>
                <w:szCs w:val="22"/>
                <w:lang w:eastAsia="en-US"/>
              </w:rPr>
              <w:t xml:space="preserve"> monthly newsletter, </w:t>
            </w:r>
            <w:hyperlink r:id="rId23" w:history="1">
              <w:r>
                <w:rPr>
                  <w:rStyle w:val="Hyperlink"/>
                  <w:rFonts w:ascii="Calibri" w:eastAsia="Times New Roman" w:hAnsi="Calibri"/>
                  <w:b w:val="0"/>
                  <w:bCs w:val="0"/>
                  <w:sz w:val="22"/>
                  <w:szCs w:val="22"/>
                  <w:lang w:eastAsia="en-US"/>
                </w:rPr>
                <w:t>‘Virtual Conferencing in Education – How and Why’</w:t>
              </w:r>
            </w:hyperlink>
            <w:r>
              <w:rPr>
                <w:rFonts w:ascii="Calibri" w:eastAsia="Times New Roman" w:hAnsi="Calibri"/>
                <w:b w:val="0"/>
                <w:bCs w:val="0"/>
                <w:color w:val="1F497D"/>
                <w:sz w:val="22"/>
                <w:szCs w:val="22"/>
                <w:lang w:eastAsia="en-US"/>
              </w:rPr>
              <w:t xml:space="preserve"> also provides an overview of how virtual conferencing in being used in Victoria.</w:t>
            </w:r>
          </w:p>
          <w:p w:rsidR="00511E5D" w:rsidRDefault="00511E5D" w:rsidP="005D5595">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hyperlink r:id="rId24" w:history="1">
              <w:r>
                <w:rPr>
                  <w:rStyle w:val="Hyperlink"/>
                  <w:rFonts w:ascii="Calibri" w:eastAsia="Times New Roman" w:hAnsi="Calibri"/>
                  <w:b w:val="0"/>
                  <w:bCs w:val="0"/>
                  <w:sz w:val="22"/>
                  <w:szCs w:val="22"/>
                  <w:lang w:eastAsia="en-US"/>
                </w:rPr>
                <w:t>Virtual Conference Centre Coaches</w:t>
              </w:r>
            </w:hyperlink>
            <w:r>
              <w:rPr>
                <w:rFonts w:ascii="Calibri" w:eastAsia="Times New Roman" w:hAnsi="Calibri"/>
                <w:b w:val="0"/>
                <w:bCs w:val="0"/>
                <w:color w:val="1F497D"/>
                <w:sz w:val="22"/>
                <w:szCs w:val="22"/>
                <w:lang w:eastAsia="en-US"/>
              </w:rPr>
              <w:t xml:space="preserve"> are also available to further assist with </w:t>
            </w:r>
            <w:proofErr w:type="spellStart"/>
            <w:r>
              <w:rPr>
                <w:rFonts w:ascii="Calibri" w:eastAsia="Times New Roman" w:hAnsi="Calibri"/>
                <w:b w:val="0"/>
                <w:bCs w:val="0"/>
                <w:color w:val="1F497D"/>
                <w:sz w:val="22"/>
                <w:szCs w:val="22"/>
                <w:lang w:eastAsia="en-US"/>
              </w:rPr>
              <w:t>Polycom</w:t>
            </w:r>
            <w:proofErr w:type="spellEnd"/>
            <w:r>
              <w:rPr>
                <w:rFonts w:ascii="Calibri" w:eastAsia="Times New Roman" w:hAnsi="Calibri"/>
                <w:b w:val="0"/>
                <w:bCs w:val="0"/>
                <w:color w:val="1F497D"/>
                <w:sz w:val="22"/>
                <w:szCs w:val="22"/>
                <w:lang w:eastAsia="en-US"/>
              </w:rPr>
              <w:t>.</w:t>
            </w:r>
          </w:p>
          <w:p w:rsidR="00511E5D" w:rsidRDefault="00511E5D">
            <w:pPr>
              <w:pStyle w:val="Heading2"/>
              <w:spacing w:before="0" w:beforeAutospacing="0" w:after="0" w:afterAutospacing="0"/>
              <w:rPr>
                <w:rFonts w:ascii="Calibri" w:eastAsia="Times New Roman" w:hAnsi="Calibri"/>
                <w:b w:val="0"/>
                <w:bCs w:val="0"/>
                <w:i/>
                <w:iCs/>
                <w:color w:val="1F497D"/>
                <w:sz w:val="22"/>
                <w:szCs w:val="22"/>
                <w:lang w:eastAsia="en-US"/>
              </w:rPr>
            </w:pPr>
          </w:p>
        </w:tc>
      </w:tr>
      <w:tr w:rsidR="00511E5D" w:rsidTr="00511E5D">
        <w:tc>
          <w:tcPr>
            <w:tcW w:w="5000" w:type="pct"/>
            <w:gridSpan w:val="15"/>
            <w:shd w:val="clear" w:color="auto" w:fill="F79646"/>
            <w:tcMar>
              <w:top w:w="0" w:type="dxa"/>
              <w:left w:w="108" w:type="dxa"/>
              <w:bottom w:w="0" w:type="dxa"/>
              <w:right w:w="108" w:type="dxa"/>
            </w:tcMar>
          </w:tcPr>
          <w:p w:rsidR="00511E5D" w:rsidRDefault="00511E5D">
            <w:pPr>
              <w:rPr>
                <w:b/>
                <w:bCs/>
                <w:color w:val="FFFFFF"/>
                <w:sz w:val="28"/>
                <w:szCs w:val="28"/>
              </w:rPr>
            </w:pPr>
            <w:r>
              <w:rPr>
                <w:b/>
                <w:bCs/>
                <w:color w:val="FFFFFF"/>
                <w:sz w:val="28"/>
                <w:szCs w:val="28"/>
                <w:lang w:eastAsia="en-AU"/>
              </w:rPr>
              <w:lastRenderedPageBreak/>
              <w:t xml:space="preserve">Professional Learning and Classroom Opportunities- </w:t>
            </w:r>
            <w:r>
              <w:rPr>
                <w:color w:val="FFFFFF"/>
                <w:sz w:val="20"/>
                <w:szCs w:val="20"/>
                <w:lang w:eastAsia="en-AU"/>
              </w:rPr>
              <w:t xml:space="preserve">see our </w:t>
            </w:r>
            <w:hyperlink r:id="rId25" w:tgtFrame="_blank" w:history="1">
              <w:r>
                <w:rPr>
                  <w:rStyle w:val="Hyperlink"/>
                  <w:color w:val="FFFFFF"/>
                  <w:sz w:val="20"/>
                  <w:szCs w:val="20"/>
                </w:rPr>
                <w:t>Professional Learning Calendar</w:t>
              </w:r>
            </w:hyperlink>
            <w:r>
              <w:rPr>
                <w:color w:val="FFFFFF"/>
                <w:sz w:val="20"/>
                <w:szCs w:val="20"/>
                <w:lang w:eastAsia="en-AU"/>
              </w:rPr>
              <w:t xml:space="preserve"> for a full list of events</w:t>
            </w:r>
          </w:p>
          <w:p w:rsidR="00511E5D" w:rsidRDefault="00511E5D"/>
        </w:tc>
      </w:tr>
      <w:tr w:rsidR="00511E5D" w:rsidTr="00511E5D">
        <w:tc>
          <w:tcPr>
            <w:tcW w:w="1023" w:type="pct"/>
            <w:gridSpan w:val="2"/>
            <w:shd w:val="clear" w:color="auto" w:fill="F2F2F2"/>
            <w:tcMar>
              <w:top w:w="0" w:type="dxa"/>
              <w:left w:w="108" w:type="dxa"/>
              <w:bottom w:w="0" w:type="dxa"/>
              <w:right w:w="108" w:type="dxa"/>
            </w:tcMar>
            <w:vAlign w:val="center"/>
            <w:hideMark/>
          </w:tcPr>
          <w:p w:rsidR="00511E5D" w:rsidRDefault="00511E5D">
            <w:pPr>
              <w:rPr>
                <w:rFonts w:ascii="Times New Roman" w:hAnsi="Times New Roman"/>
                <w:sz w:val="20"/>
                <w:szCs w:val="20"/>
                <w:lang w:eastAsia="en-AU"/>
              </w:rPr>
            </w:pPr>
            <w:r>
              <w:rPr>
                <w:rFonts w:ascii="Times New Roman" w:hAnsi="Times New Roman"/>
                <w:noProof/>
                <w:sz w:val="20"/>
                <w:szCs w:val="20"/>
                <w:lang w:eastAsia="en-AU"/>
              </w:rPr>
              <w:drawing>
                <wp:inline distT="0" distB="0" distL="0" distR="0" wp14:anchorId="5EBC9D79" wp14:editId="04F2034D">
                  <wp:extent cx="1285875" cy="271145"/>
                  <wp:effectExtent l="0" t="0" r="9525" b="0"/>
                  <wp:docPr id="6"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jpg@01CFC219.81935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jpg@01CFC219.819350C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285875" cy="271145"/>
                          </a:xfrm>
                          <a:prstGeom prst="rect">
                            <a:avLst/>
                          </a:prstGeom>
                          <a:noFill/>
                          <a:ln>
                            <a:noFill/>
                          </a:ln>
                        </pic:spPr>
                      </pic:pic>
                    </a:graphicData>
                  </a:graphic>
                </wp:inline>
              </w:drawing>
            </w:r>
          </w:p>
        </w:tc>
        <w:tc>
          <w:tcPr>
            <w:tcW w:w="1284" w:type="pct"/>
            <w:gridSpan w:val="7"/>
            <w:shd w:val="clear" w:color="auto" w:fill="F2F2F2"/>
            <w:tcMar>
              <w:top w:w="0" w:type="dxa"/>
              <w:left w:w="108" w:type="dxa"/>
              <w:bottom w:w="0" w:type="dxa"/>
              <w:right w:w="108" w:type="dxa"/>
            </w:tcMar>
            <w:hideMark/>
          </w:tcPr>
          <w:p w:rsidR="00511E5D" w:rsidRDefault="00511E5D" w:rsidP="005D5595">
            <w:pPr>
              <w:pStyle w:val="ListParagraph"/>
              <w:numPr>
                <w:ilvl w:val="0"/>
                <w:numId w:val="2"/>
              </w:numPr>
              <w:rPr>
                <w:color w:val="1F497D"/>
                <w:lang w:eastAsia="en-US"/>
              </w:rPr>
            </w:pPr>
            <w:hyperlink r:id="rId28" w:history="1">
              <w:r>
                <w:rPr>
                  <w:rStyle w:val="Hyperlink"/>
                  <w:lang w:eastAsia="en-US"/>
                </w:rPr>
                <w:t xml:space="preserve">Hands </w:t>
              </w:r>
              <w:proofErr w:type="gramStart"/>
              <w:r>
                <w:rPr>
                  <w:rStyle w:val="Hyperlink"/>
                  <w:lang w:eastAsia="en-US"/>
                </w:rPr>
                <w:t>On</w:t>
              </w:r>
              <w:proofErr w:type="gramEnd"/>
              <w:r>
                <w:rPr>
                  <w:rStyle w:val="Hyperlink"/>
                  <w:lang w:eastAsia="en-US"/>
                </w:rPr>
                <w:t xml:space="preserve"> Digital Learning in the Classroom</w:t>
              </w:r>
            </w:hyperlink>
            <w:r>
              <w:rPr>
                <w:color w:val="1F497D"/>
                <w:lang w:eastAsia="en-US"/>
              </w:rPr>
              <w:t>: Sessions for Primary Teachers running in Rye and Karoo.</w:t>
            </w:r>
          </w:p>
          <w:p w:rsidR="00511E5D" w:rsidRDefault="00511E5D" w:rsidP="005D5595">
            <w:pPr>
              <w:pStyle w:val="ListParagraph"/>
              <w:numPr>
                <w:ilvl w:val="0"/>
                <w:numId w:val="2"/>
              </w:numPr>
              <w:rPr>
                <w:color w:val="1F497D"/>
              </w:rPr>
            </w:pPr>
            <w:hyperlink r:id="rId29" w:history="1">
              <w:r>
                <w:rPr>
                  <w:rStyle w:val="Hyperlink"/>
                </w:rPr>
                <w:t>Inclusion Online</w:t>
              </w:r>
            </w:hyperlink>
            <w:r>
              <w:rPr>
                <w:color w:val="1F497D"/>
              </w:rPr>
              <w:t>: These free courses in Autism Spectrum Disorder, Dyslexia, Speech and Language, and Hearing Loss offer 20 hours of professional learning over 10 weeks.  </w:t>
            </w:r>
            <w:hyperlink r:id="rId30" w:history="1">
              <w:r>
                <w:rPr>
                  <w:rStyle w:val="Hyperlink"/>
                </w:rPr>
                <w:t>Register</w:t>
              </w:r>
            </w:hyperlink>
            <w:r>
              <w:rPr>
                <w:color w:val="1F497D"/>
              </w:rPr>
              <w:t xml:space="preserve"> for a Term 4 course via PD Online or by contacting your region’s Lead Tutor.  </w:t>
            </w:r>
          </w:p>
          <w:p w:rsidR="00511E5D" w:rsidRDefault="00511E5D" w:rsidP="005D5595">
            <w:pPr>
              <w:pStyle w:val="ListParagraph"/>
              <w:numPr>
                <w:ilvl w:val="0"/>
                <w:numId w:val="2"/>
              </w:numPr>
              <w:rPr>
                <w:color w:val="1F497D"/>
                <w:lang w:eastAsia="en-US"/>
              </w:rPr>
            </w:pPr>
            <w:hyperlink r:id="rId31" w:history="1">
              <w:proofErr w:type="spellStart"/>
              <w:proofErr w:type="gramStart"/>
              <w:r>
                <w:rPr>
                  <w:rStyle w:val="Hyperlink"/>
                </w:rPr>
                <w:t>iPads</w:t>
              </w:r>
              <w:proofErr w:type="spellEnd"/>
              <w:proofErr w:type="gramEnd"/>
              <w:r>
                <w:rPr>
                  <w:rStyle w:val="Hyperlink"/>
                </w:rPr>
                <w:t xml:space="preserve"> for learning, online short courses</w:t>
              </w:r>
            </w:hyperlink>
            <w:r>
              <w:rPr>
                <w:color w:val="1F497D"/>
              </w:rPr>
              <w:t xml:space="preserve"> register now for October courses.</w:t>
            </w:r>
          </w:p>
        </w:tc>
        <w:tc>
          <w:tcPr>
            <w:tcW w:w="1405" w:type="pct"/>
            <w:shd w:val="clear" w:color="auto" w:fill="F2F2F2"/>
            <w:tcMar>
              <w:top w:w="0" w:type="dxa"/>
              <w:left w:w="108" w:type="dxa"/>
              <w:bottom w:w="0" w:type="dxa"/>
              <w:right w:w="108" w:type="dxa"/>
            </w:tcMar>
            <w:hideMark/>
          </w:tcPr>
          <w:p w:rsidR="00511E5D" w:rsidRDefault="00511E5D">
            <w:r>
              <w:rPr>
                <w:noProof/>
                <w:lang w:eastAsia="en-AU"/>
              </w:rPr>
              <w:drawing>
                <wp:inline distT="0" distB="0" distL="0" distR="0" wp14:anchorId="53755A5E" wp14:editId="5818A73B">
                  <wp:extent cx="854075" cy="1035050"/>
                  <wp:effectExtent l="0" t="0" r="3175" b="0"/>
                  <wp:docPr id="5" name="Picture 5" descr="Description: Description: Description: Description: Description: Description: Description: Description: Description: C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CEM2"/>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854075" cy="1035050"/>
                          </a:xfrm>
                          <a:prstGeom prst="rect">
                            <a:avLst/>
                          </a:prstGeom>
                          <a:noFill/>
                          <a:ln>
                            <a:noFill/>
                          </a:ln>
                        </pic:spPr>
                      </pic:pic>
                    </a:graphicData>
                  </a:graphic>
                </wp:inline>
              </w:drawing>
            </w:r>
          </w:p>
        </w:tc>
        <w:tc>
          <w:tcPr>
            <w:tcW w:w="1287" w:type="pct"/>
            <w:gridSpan w:val="5"/>
            <w:shd w:val="clear" w:color="auto" w:fill="F2F2F2"/>
            <w:tcMar>
              <w:top w:w="0" w:type="dxa"/>
              <w:left w:w="108" w:type="dxa"/>
              <w:bottom w:w="0" w:type="dxa"/>
              <w:right w:w="108" w:type="dxa"/>
            </w:tcMar>
            <w:hideMark/>
          </w:tcPr>
          <w:p w:rsidR="00511E5D" w:rsidRDefault="00511E5D">
            <w:pPr>
              <w:rPr>
                <w:color w:val="1F497D"/>
              </w:rPr>
            </w:pPr>
            <w:hyperlink r:id="rId34" w:history="1">
              <w:r>
                <w:rPr>
                  <w:rStyle w:val="Hyperlink"/>
                </w:rPr>
                <w:t>Connected Educator Month</w:t>
              </w:r>
            </w:hyperlink>
          </w:p>
          <w:p w:rsidR="00511E5D" w:rsidRDefault="00511E5D" w:rsidP="005D5595">
            <w:pPr>
              <w:pStyle w:val="ListParagraph"/>
              <w:numPr>
                <w:ilvl w:val="0"/>
                <w:numId w:val="2"/>
              </w:numPr>
              <w:rPr>
                <w:color w:val="1F497D"/>
              </w:rPr>
            </w:pPr>
            <w:r>
              <w:rPr>
                <w:color w:val="1F497D"/>
                <w:lang w:eastAsia="en-US"/>
              </w:rPr>
              <w:t>This</w:t>
            </w:r>
            <w:r>
              <w:rPr>
                <w:color w:val="1F497D"/>
              </w:rPr>
              <w:t xml:space="preserve"> October is </w:t>
            </w:r>
            <w:hyperlink r:id="rId35" w:history="1">
              <w:r>
                <w:rPr>
                  <w:rStyle w:val="Hyperlink"/>
                  <w:color w:val="1F497D"/>
                </w:rPr>
                <w:t>Connected Educator Month</w:t>
              </w:r>
            </w:hyperlink>
            <w:r>
              <w:rPr>
                <w:color w:val="1F497D"/>
              </w:rPr>
              <w:t xml:space="preserve">, an international event, connecting thousands of educators across the globe. </w:t>
            </w:r>
          </w:p>
          <w:p w:rsidR="00511E5D" w:rsidRDefault="00511E5D" w:rsidP="005D5595">
            <w:pPr>
              <w:pStyle w:val="ListParagraph"/>
              <w:numPr>
                <w:ilvl w:val="0"/>
                <w:numId w:val="2"/>
              </w:numPr>
              <w:rPr>
                <w:color w:val="1F497D"/>
              </w:rPr>
            </w:pPr>
            <w:r>
              <w:rPr>
                <w:color w:val="1F497D"/>
                <w:lang w:eastAsia="en-US"/>
              </w:rPr>
              <w:t>Victorian</w:t>
            </w:r>
            <w:r>
              <w:rPr>
                <w:color w:val="1F497D"/>
              </w:rPr>
              <w:t xml:space="preserve"> educators have access to a schedule of free online local and global professional learning opportunities. You are also invited to register an event of your own. </w:t>
            </w:r>
          </w:p>
          <w:p w:rsidR="00511E5D" w:rsidRDefault="00511E5D" w:rsidP="005D5595">
            <w:pPr>
              <w:pStyle w:val="ListParagraph"/>
              <w:numPr>
                <w:ilvl w:val="0"/>
                <w:numId w:val="2"/>
              </w:numPr>
            </w:pPr>
            <w:r>
              <w:rPr>
                <w:color w:val="1F497D"/>
                <w:lang w:eastAsia="en-US"/>
              </w:rPr>
              <w:t>Go</w:t>
            </w:r>
            <w:r>
              <w:rPr>
                <w:color w:val="1F497D"/>
              </w:rPr>
              <w:t xml:space="preserve"> to the </w:t>
            </w:r>
            <w:hyperlink r:id="rId36" w:history="1">
              <w:r>
                <w:rPr>
                  <w:rStyle w:val="Hyperlink"/>
                </w:rPr>
                <w:t>website</w:t>
              </w:r>
            </w:hyperlink>
            <w:r>
              <w:rPr>
                <w:color w:val="1F497D"/>
              </w:rPr>
              <w:t xml:space="preserve"> to find out more.</w:t>
            </w:r>
          </w:p>
        </w:tc>
      </w:tr>
      <w:tr w:rsidR="00511E5D" w:rsidTr="00511E5D">
        <w:tc>
          <w:tcPr>
            <w:tcW w:w="1023" w:type="pct"/>
            <w:gridSpan w:val="2"/>
            <w:shd w:val="clear" w:color="auto" w:fill="FFFFFF"/>
            <w:tcMar>
              <w:top w:w="0" w:type="dxa"/>
              <w:left w:w="108" w:type="dxa"/>
              <w:bottom w:w="0" w:type="dxa"/>
              <w:right w:w="108" w:type="dxa"/>
            </w:tcMar>
            <w:vAlign w:val="center"/>
            <w:hideMark/>
          </w:tcPr>
          <w:p w:rsidR="00511E5D" w:rsidRDefault="00511E5D">
            <w:pPr>
              <w:jc w:val="center"/>
            </w:pPr>
            <w:r>
              <w:rPr>
                <w:b/>
                <w:bCs/>
                <w:i/>
                <w:iCs/>
                <w:noProof/>
                <w:color w:val="1F497D"/>
                <w:sz w:val="20"/>
                <w:szCs w:val="20"/>
                <w:lang w:eastAsia="en-AU"/>
              </w:rPr>
              <w:drawing>
                <wp:inline distT="0" distB="0" distL="0" distR="0" wp14:anchorId="44D46F87" wp14:editId="24C779DE">
                  <wp:extent cx="773430" cy="793750"/>
                  <wp:effectExtent l="0" t="0" r="7620" b="6350"/>
                  <wp:docPr id="4" name="Picture 4"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773430" cy="793750"/>
                          </a:xfrm>
                          <a:prstGeom prst="rect">
                            <a:avLst/>
                          </a:prstGeom>
                          <a:noFill/>
                          <a:ln>
                            <a:noFill/>
                          </a:ln>
                        </pic:spPr>
                      </pic:pic>
                    </a:graphicData>
                  </a:graphic>
                </wp:inline>
              </w:drawing>
            </w:r>
          </w:p>
        </w:tc>
        <w:tc>
          <w:tcPr>
            <w:tcW w:w="1284" w:type="pct"/>
            <w:gridSpan w:val="7"/>
            <w:shd w:val="clear" w:color="auto" w:fill="FFFFFF"/>
            <w:tcMar>
              <w:top w:w="0" w:type="dxa"/>
              <w:left w:w="108" w:type="dxa"/>
              <w:bottom w:w="0" w:type="dxa"/>
              <w:right w:w="108" w:type="dxa"/>
            </w:tcMar>
            <w:hideMark/>
          </w:tcPr>
          <w:p w:rsidR="00511E5D" w:rsidRDefault="00511E5D" w:rsidP="005D5595">
            <w:pPr>
              <w:numPr>
                <w:ilvl w:val="0"/>
                <w:numId w:val="3"/>
              </w:numPr>
            </w:pPr>
            <w:r>
              <w:rPr>
                <w:color w:val="1F497D"/>
                <w:lang w:eastAsia="en-AU"/>
              </w:rPr>
              <w:t xml:space="preserve">3 Nov: </w:t>
            </w:r>
            <w:hyperlink r:id="rId39" w:history="1">
              <w:r>
                <w:rPr>
                  <w:rStyle w:val="Hyperlink"/>
                </w:rPr>
                <w:t>Be a connected educator! Blogging and Micro Blogging</w:t>
              </w:r>
            </w:hyperlink>
          </w:p>
          <w:p w:rsidR="00511E5D" w:rsidRDefault="00511E5D" w:rsidP="005D5595">
            <w:pPr>
              <w:numPr>
                <w:ilvl w:val="0"/>
                <w:numId w:val="3"/>
              </w:numPr>
              <w:rPr>
                <w:i/>
                <w:iCs/>
              </w:rPr>
            </w:pPr>
            <w:r>
              <w:rPr>
                <w:color w:val="1F497D"/>
                <w:lang w:eastAsia="en-AU"/>
              </w:rPr>
              <w:t>21 Nov:</w:t>
            </w:r>
            <w:r>
              <w:rPr>
                <w:color w:val="1F497D"/>
              </w:rPr>
              <w:t xml:space="preserve"> Leadership Talks – </w:t>
            </w:r>
            <w:hyperlink r:id="rId40" w:history="1">
              <w:r>
                <w:rPr>
                  <w:rStyle w:val="Hyperlink"/>
                </w:rPr>
                <w:t xml:space="preserve">Is your school </w:t>
              </w:r>
              <w:proofErr w:type="spellStart"/>
              <w:r>
                <w:rPr>
                  <w:rStyle w:val="Hyperlink"/>
                </w:rPr>
                <w:t>Digi</w:t>
              </w:r>
              <w:proofErr w:type="spellEnd"/>
              <w:r>
                <w:rPr>
                  <w:rStyle w:val="Hyperlink"/>
                </w:rPr>
                <w:t xml:space="preserve"> Tech ready?</w:t>
              </w:r>
            </w:hyperlink>
          </w:p>
          <w:p w:rsidR="00511E5D" w:rsidRDefault="00511E5D" w:rsidP="005D5595">
            <w:pPr>
              <w:numPr>
                <w:ilvl w:val="0"/>
                <w:numId w:val="3"/>
              </w:numPr>
              <w:rPr>
                <w:color w:val="1F497D"/>
              </w:rPr>
            </w:pPr>
            <w:r>
              <w:rPr>
                <w:color w:val="1F497D"/>
              </w:rPr>
              <w:t xml:space="preserve">28 Nov: </w:t>
            </w:r>
            <w:hyperlink r:id="rId41" w:history="1">
              <w:r>
                <w:rPr>
                  <w:rStyle w:val="Hyperlink"/>
                </w:rPr>
                <w:t>VCE &amp; VET – Let’s Move IT for 2015!</w:t>
              </w:r>
            </w:hyperlink>
          </w:p>
        </w:tc>
        <w:tc>
          <w:tcPr>
            <w:tcW w:w="1405" w:type="pct"/>
            <w:shd w:val="clear" w:color="auto" w:fill="FFFFFF"/>
            <w:tcMar>
              <w:top w:w="0" w:type="dxa"/>
              <w:left w:w="108" w:type="dxa"/>
              <w:bottom w:w="0" w:type="dxa"/>
              <w:right w:w="108" w:type="dxa"/>
            </w:tcMar>
            <w:vAlign w:val="center"/>
            <w:hideMark/>
          </w:tcPr>
          <w:p w:rsidR="00511E5D" w:rsidRDefault="00511E5D">
            <w:pPr>
              <w:jc w:val="center"/>
              <w:rPr>
                <w:rFonts w:ascii="Times New Roman" w:hAnsi="Times New Roman"/>
                <w:sz w:val="20"/>
                <w:szCs w:val="20"/>
                <w:lang w:eastAsia="en-AU"/>
              </w:rPr>
            </w:pPr>
            <w:r>
              <w:rPr>
                <w:noProof/>
                <w:lang w:eastAsia="en-AU"/>
              </w:rPr>
              <w:drawing>
                <wp:inline distT="0" distB="0" distL="0" distR="0" wp14:anchorId="139AFBBD" wp14:editId="3BB83D14">
                  <wp:extent cx="502285" cy="833755"/>
                  <wp:effectExtent l="0" t="0" r="0" b="4445"/>
                  <wp:docPr id="3" name="Picture 3" descr="Description: Description: Description: Description: Description: Description: Description: Description: Description: Description: Description: Description: Description: Description: Description: Description: Description: Description: Description: cid:image005.png@01CFD81D.37792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Description: Description: Description: Description: Description: Description: Description: Description: Description: Description: Description: Description: cid:image005.png@01CFD81D.3779209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02285" cy="833755"/>
                          </a:xfrm>
                          <a:prstGeom prst="rect">
                            <a:avLst/>
                          </a:prstGeom>
                          <a:noFill/>
                          <a:ln>
                            <a:noFill/>
                          </a:ln>
                        </pic:spPr>
                      </pic:pic>
                    </a:graphicData>
                  </a:graphic>
                </wp:inline>
              </w:drawing>
            </w:r>
          </w:p>
        </w:tc>
        <w:tc>
          <w:tcPr>
            <w:tcW w:w="1287" w:type="pct"/>
            <w:gridSpan w:val="5"/>
            <w:shd w:val="clear" w:color="auto" w:fill="FFFFFF"/>
            <w:tcMar>
              <w:top w:w="0" w:type="dxa"/>
              <w:left w:w="108" w:type="dxa"/>
              <w:bottom w:w="0" w:type="dxa"/>
              <w:right w:w="108" w:type="dxa"/>
            </w:tcMar>
            <w:hideMark/>
          </w:tcPr>
          <w:p w:rsidR="00511E5D" w:rsidRDefault="00511E5D">
            <w:pPr>
              <w:rPr>
                <w:color w:val="1F497D"/>
              </w:rPr>
            </w:pPr>
            <w:r>
              <w:rPr>
                <w:color w:val="1F497D"/>
              </w:rPr>
              <w:t>Adobe has released dates for a new series of Webinars for teachers and school leaders wishing to learn more about Adobe applications and best practice in the classroom:</w:t>
            </w:r>
          </w:p>
          <w:p w:rsidR="00511E5D" w:rsidRDefault="00511E5D" w:rsidP="005D5595">
            <w:pPr>
              <w:pStyle w:val="ListParagraph"/>
              <w:numPr>
                <w:ilvl w:val="0"/>
                <w:numId w:val="2"/>
              </w:numPr>
              <w:rPr>
                <w:color w:val="1F497D"/>
              </w:rPr>
            </w:pPr>
            <w:r>
              <w:rPr>
                <w:color w:val="1F497D"/>
                <w:lang w:eastAsia="en-US"/>
              </w:rPr>
              <w:t>Developing</w:t>
            </w:r>
            <w:r>
              <w:rPr>
                <w:color w:val="1F497D"/>
              </w:rPr>
              <w:t xml:space="preserve"> Creativity in K-12 Classrooms - </w:t>
            </w:r>
            <w:hyperlink r:id="rId44" w:history="1">
              <w:r>
                <w:rPr>
                  <w:rStyle w:val="Hyperlink"/>
                </w:rPr>
                <w:t>https://creative-learners-k12.attendease.com/</w:t>
              </w:r>
            </w:hyperlink>
          </w:p>
          <w:p w:rsidR="00511E5D" w:rsidRDefault="00511E5D" w:rsidP="005D5595">
            <w:pPr>
              <w:pStyle w:val="ListParagraph"/>
              <w:numPr>
                <w:ilvl w:val="0"/>
                <w:numId w:val="2"/>
              </w:numPr>
              <w:rPr>
                <w:color w:val="1F497D"/>
              </w:rPr>
            </w:pPr>
            <w:r>
              <w:rPr>
                <w:color w:val="1F497D"/>
                <w:lang w:eastAsia="en-US"/>
              </w:rPr>
              <w:t>Digital</w:t>
            </w:r>
            <w:r>
              <w:rPr>
                <w:color w:val="1F497D"/>
              </w:rPr>
              <w:t xml:space="preserve"> Storytelling with Adobe - </w:t>
            </w:r>
            <w:hyperlink r:id="rId45" w:history="1">
              <w:r>
                <w:rPr>
                  <w:rStyle w:val="Hyperlink"/>
                </w:rPr>
                <w:t>https://digital-storytelling.attendease.com/</w:t>
              </w:r>
            </w:hyperlink>
          </w:p>
          <w:p w:rsidR="00511E5D" w:rsidRDefault="00511E5D" w:rsidP="005D5595">
            <w:pPr>
              <w:pStyle w:val="ListParagraph"/>
              <w:numPr>
                <w:ilvl w:val="0"/>
                <w:numId w:val="2"/>
              </w:numPr>
              <w:rPr>
                <w:rFonts w:ascii="Times New Roman" w:hAnsi="Times New Roman"/>
                <w:sz w:val="20"/>
                <w:szCs w:val="20"/>
              </w:rPr>
            </w:pPr>
            <w:r>
              <w:rPr>
                <w:color w:val="1F497D"/>
                <w:lang w:eastAsia="en-US"/>
              </w:rPr>
              <w:lastRenderedPageBreak/>
              <w:t>Flipping</w:t>
            </w:r>
            <w:r>
              <w:rPr>
                <w:color w:val="1F497D"/>
              </w:rPr>
              <w:t xml:space="preserve"> Learning with Adobe - </w:t>
            </w:r>
            <w:hyperlink r:id="rId46" w:history="1">
              <w:r>
                <w:rPr>
                  <w:rStyle w:val="Hyperlink"/>
                </w:rPr>
                <w:t>https://flipping-learning.attendease.com/</w:t>
              </w:r>
            </w:hyperlink>
          </w:p>
        </w:tc>
      </w:tr>
      <w:tr w:rsidR="00511E5D" w:rsidTr="00511E5D">
        <w:tc>
          <w:tcPr>
            <w:tcW w:w="5000" w:type="pct"/>
            <w:gridSpan w:val="15"/>
            <w:shd w:val="clear" w:color="auto" w:fill="F79646"/>
            <w:tcMar>
              <w:top w:w="0" w:type="dxa"/>
              <w:left w:w="108" w:type="dxa"/>
              <w:bottom w:w="0" w:type="dxa"/>
              <w:right w:w="108" w:type="dxa"/>
            </w:tcMar>
            <w:hideMark/>
          </w:tcPr>
          <w:p w:rsidR="00511E5D" w:rsidRDefault="00511E5D">
            <w:r>
              <w:rPr>
                <w:b/>
                <w:bCs/>
                <w:color w:val="FFFFFF"/>
                <w:sz w:val="28"/>
                <w:szCs w:val="28"/>
                <w:lang w:eastAsia="en-AU"/>
              </w:rPr>
              <w:lastRenderedPageBreak/>
              <w:t xml:space="preserve">Conferences and Events </w:t>
            </w:r>
          </w:p>
        </w:tc>
      </w:tr>
      <w:tr w:rsidR="00511E5D" w:rsidTr="00511E5D">
        <w:tc>
          <w:tcPr>
            <w:tcW w:w="5000" w:type="pct"/>
            <w:gridSpan w:val="15"/>
            <w:tcMar>
              <w:top w:w="0" w:type="dxa"/>
              <w:left w:w="108" w:type="dxa"/>
              <w:bottom w:w="0" w:type="dxa"/>
              <w:right w:w="108" w:type="dxa"/>
            </w:tcMar>
            <w:hideMark/>
          </w:tcPr>
          <w:p w:rsidR="00511E5D" w:rsidRDefault="00511E5D" w:rsidP="005D5595">
            <w:pPr>
              <w:pStyle w:val="NormalWeb"/>
              <w:numPr>
                <w:ilvl w:val="0"/>
                <w:numId w:val="4"/>
              </w:numPr>
              <w:rPr>
                <w:rFonts w:ascii="Calibri" w:hAnsi="Calibri"/>
                <w:color w:val="000000"/>
                <w:sz w:val="22"/>
                <w:szCs w:val="22"/>
                <w:lang w:eastAsia="en-US"/>
              </w:rPr>
            </w:pPr>
            <w:hyperlink r:id="rId47" w:history="1">
              <w:r>
                <w:rPr>
                  <w:rStyle w:val="Hyperlink"/>
                  <w:rFonts w:ascii="Calibri" w:hAnsi="Calibri"/>
                  <w:sz w:val="22"/>
                  <w:szCs w:val="22"/>
                  <w:lang w:eastAsia="en-US"/>
                </w:rPr>
                <w:t xml:space="preserve">Michael </w:t>
              </w:r>
              <w:proofErr w:type="spellStart"/>
              <w:r>
                <w:rPr>
                  <w:rStyle w:val="Hyperlink"/>
                  <w:rFonts w:ascii="Calibri" w:hAnsi="Calibri"/>
                  <w:sz w:val="22"/>
                  <w:szCs w:val="22"/>
                  <w:lang w:eastAsia="en-US"/>
                </w:rPr>
                <w:t>Fullan</w:t>
              </w:r>
              <w:proofErr w:type="spellEnd"/>
              <w:r>
                <w:rPr>
                  <w:rStyle w:val="Hyperlink"/>
                  <w:rFonts w:ascii="Calibri" w:hAnsi="Calibri"/>
                  <w:sz w:val="22"/>
                  <w:szCs w:val="22"/>
                  <w:lang w:eastAsia="en-US"/>
                </w:rPr>
                <w:t>: New Pedagogies for Deep Learning – a Global Partnership</w:t>
              </w:r>
            </w:hyperlink>
            <w:r>
              <w:rPr>
                <w:rFonts w:ascii="Calibri" w:hAnsi="Calibri"/>
                <w:color w:val="1F497D"/>
                <w:sz w:val="22"/>
                <w:szCs w:val="22"/>
                <w:lang w:eastAsia="en-US"/>
              </w:rPr>
              <w:t>: 9:00am, 29 October, ACMI</w:t>
            </w:r>
            <w:r>
              <w:t xml:space="preserve"> </w:t>
            </w:r>
            <w:hyperlink r:id="rId48" w:history="1">
              <w:proofErr w:type="spellStart"/>
              <w:r>
                <w:rPr>
                  <w:rStyle w:val="Hyperlink"/>
                  <w:rFonts w:ascii="Calibri" w:hAnsi="Calibri"/>
                  <w:sz w:val="22"/>
                  <w:szCs w:val="22"/>
                  <w:lang w:eastAsia="en-US"/>
                </w:rPr>
                <w:t>Startup</w:t>
              </w:r>
              <w:proofErr w:type="spellEnd"/>
              <w:r>
                <w:rPr>
                  <w:rStyle w:val="Hyperlink"/>
                  <w:rFonts w:ascii="Calibri" w:hAnsi="Calibri"/>
                  <w:sz w:val="22"/>
                  <w:szCs w:val="22"/>
                  <w:lang w:eastAsia="en-US"/>
                </w:rPr>
                <w:t>  Weekend Education Melbourne</w:t>
              </w:r>
            </w:hyperlink>
            <w:r>
              <w:rPr>
                <w:rFonts w:ascii="Calibri" w:hAnsi="Calibri"/>
                <w:color w:val="1F497D"/>
                <w:sz w:val="22"/>
                <w:szCs w:val="22"/>
                <w:lang w:eastAsia="en-US"/>
              </w:rPr>
              <w:t>, 31</w:t>
            </w:r>
            <w:r>
              <w:rPr>
                <w:rFonts w:ascii="Calibri" w:hAnsi="Calibri"/>
                <w:color w:val="1F497D"/>
                <w:sz w:val="22"/>
                <w:szCs w:val="22"/>
                <w:vertAlign w:val="superscript"/>
                <w:lang w:eastAsia="en-US"/>
              </w:rPr>
              <w:t>st</w:t>
            </w:r>
            <w:r>
              <w:rPr>
                <w:rFonts w:ascii="Calibri" w:hAnsi="Calibri"/>
                <w:color w:val="1F497D"/>
                <w:sz w:val="22"/>
                <w:szCs w:val="22"/>
                <w:lang w:eastAsia="en-US"/>
              </w:rPr>
              <w:t xml:space="preserve"> October – 2</w:t>
            </w:r>
            <w:r>
              <w:rPr>
                <w:rFonts w:ascii="Calibri" w:hAnsi="Calibri"/>
                <w:color w:val="1F497D"/>
                <w:sz w:val="22"/>
                <w:szCs w:val="22"/>
                <w:vertAlign w:val="superscript"/>
                <w:lang w:eastAsia="en-US"/>
              </w:rPr>
              <w:t>nd</w:t>
            </w:r>
            <w:r>
              <w:rPr>
                <w:rFonts w:ascii="Calibri" w:hAnsi="Calibri"/>
                <w:color w:val="1F497D"/>
                <w:sz w:val="22"/>
                <w:szCs w:val="22"/>
                <w:lang w:eastAsia="en-US"/>
              </w:rPr>
              <w:t xml:space="preserve"> November</w:t>
            </w:r>
          </w:p>
          <w:p w:rsidR="00511E5D" w:rsidRDefault="00511E5D" w:rsidP="005D5595">
            <w:pPr>
              <w:pStyle w:val="NormalWeb"/>
              <w:numPr>
                <w:ilvl w:val="0"/>
                <w:numId w:val="4"/>
              </w:numPr>
              <w:rPr>
                <w:rFonts w:ascii="Calibri" w:hAnsi="Calibri"/>
                <w:color w:val="000000"/>
                <w:sz w:val="22"/>
                <w:szCs w:val="22"/>
                <w:lang w:eastAsia="en-US"/>
              </w:rPr>
            </w:pPr>
            <w:hyperlink r:id="rId49" w:history="1">
              <w:proofErr w:type="spellStart"/>
              <w:r>
                <w:rPr>
                  <w:rStyle w:val="Hyperlink"/>
                  <w:rFonts w:ascii="Calibri" w:hAnsi="Calibri"/>
                  <w:sz w:val="22"/>
                  <w:szCs w:val="22"/>
                  <w:lang w:eastAsia="en-US"/>
                </w:rPr>
                <w:t>TeachMeet</w:t>
              </w:r>
              <w:proofErr w:type="spellEnd"/>
              <w:r>
                <w:rPr>
                  <w:rStyle w:val="Hyperlink"/>
                  <w:rFonts w:ascii="Calibri" w:hAnsi="Calibri"/>
                  <w:sz w:val="22"/>
                  <w:szCs w:val="22"/>
                  <w:lang w:eastAsia="en-US"/>
                </w:rPr>
                <w:t xml:space="preserve"> Wesley College</w:t>
              </w:r>
            </w:hyperlink>
            <w:r>
              <w:rPr>
                <w:rFonts w:ascii="Calibri" w:hAnsi="Calibri"/>
                <w:color w:val="1F497D"/>
                <w:sz w:val="22"/>
                <w:szCs w:val="22"/>
                <w:lang w:eastAsia="en-US"/>
              </w:rPr>
              <w:t>: 4:30-6:30pm, 6</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November </w:t>
            </w:r>
          </w:p>
          <w:p w:rsidR="00511E5D" w:rsidRDefault="00511E5D" w:rsidP="005D5595">
            <w:pPr>
              <w:pStyle w:val="NormalWeb"/>
              <w:numPr>
                <w:ilvl w:val="0"/>
                <w:numId w:val="4"/>
              </w:numPr>
              <w:rPr>
                <w:rFonts w:ascii="Calibri" w:hAnsi="Calibri"/>
                <w:color w:val="000000"/>
                <w:sz w:val="22"/>
                <w:szCs w:val="22"/>
                <w:lang w:eastAsia="en-US"/>
              </w:rPr>
            </w:pPr>
            <w:hyperlink r:id="rId50" w:history="1">
              <w:r>
                <w:rPr>
                  <w:rStyle w:val="Hyperlink"/>
                  <w:rFonts w:ascii="Calibri" w:hAnsi="Calibri"/>
                  <w:sz w:val="22"/>
                  <w:szCs w:val="22"/>
                  <w:lang w:eastAsia="en-US"/>
                </w:rPr>
                <w:t>Learn. Connect. Explore: Autodesk University Extension</w:t>
              </w:r>
            </w:hyperlink>
            <w:r>
              <w:rPr>
                <w:rFonts w:ascii="Calibri" w:hAnsi="Calibri"/>
                <w:color w:val="1F497D"/>
                <w:sz w:val="22"/>
                <w:szCs w:val="22"/>
                <w:lang w:eastAsia="en-US"/>
              </w:rPr>
              <w:t>: 10</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&amp; 11</w:t>
            </w:r>
            <w:r>
              <w:rPr>
                <w:rFonts w:ascii="Calibri" w:hAnsi="Calibri"/>
                <w:color w:val="1F497D"/>
                <w:sz w:val="22"/>
                <w:szCs w:val="22"/>
                <w:vertAlign w:val="superscript"/>
                <w:lang w:eastAsia="en-US"/>
              </w:rPr>
              <w:t>th</w:t>
            </w:r>
            <w:r>
              <w:rPr>
                <w:rFonts w:ascii="Calibri" w:hAnsi="Calibri"/>
                <w:color w:val="1F497D"/>
                <w:sz w:val="22"/>
                <w:szCs w:val="22"/>
                <w:lang w:eastAsia="en-US"/>
              </w:rPr>
              <w:t xml:space="preserve"> November, Sydney</w:t>
            </w:r>
          </w:p>
          <w:p w:rsidR="00511E5D" w:rsidRDefault="00511E5D" w:rsidP="005D5595">
            <w:pPr>
              <w:pStyle w:val="NormalWeb"/>
              <w:numPr>
                <w:ilvl w:val="0"/>
                <w:numId w:val="4"/>
              </w:numPr>
              <w:rPr>
                <w:rFonts w:ascii="Calibri" w:hAnsi="Calibri"/>
                <w:color w:val="000000"/>
                <w:sz w:val="22"/>
                <w:szCs w:val="22"/>
                <w:lang w:eastAsia="en-US"/>
              </w:rPr>
            </w:pPr>
            <w:r>
              <w:rPr>
                <w:rFonts w:ascii="Calibri" w:hAnsi="Calibri"/>
                <w:color w:val="1F497D"/>
                <w:sz w:val="22"/>
                <w:szCs w:val="22"/>
                <w:lang w:eastAsia="en-US"/>
              </w:rPr>
              <w:t xml:space="preserve">ICT: IT’S EVERYWHERE: Information Communication Technology Forum,  10:00am – 3:00pm, Echuca College, email </w:t>
            </w:r>
            <w:hyperlink r:id="rId51" w:history="1">
              <w:r>
                <w:rPr>
                  <w:rStyle w:val="Hyperlink"/>
                  <w:rFonts w:ascii="Calibri" w:hAnsi="Calibri"/>
                  <w:sz w:val="22"/>
                  <w:szCs w:val="22"/>
                  <w:lang w:eastAsia="en-US"/>
                </w:rPr>
                <w:t>werner.b@ccllen.com.au</w:t>
              </w:r>
            </w:hyperlink>
            <w:r>
              <w:rPr>
                <w:rFonts w:ascii="Calibri" w:hAnsi="Calibri"/>
                <w:color w:val="1F497D"/>
                <w:sz w:val="22"/>
                <w:szCs w:val="22"/>
                <w:lang w:eastAsia="en-US"/>
              </w:rPr>
              <w:t xml:space="preserve"> </w:t>
            </w:r>
          </w:p>
          <w:p w:rsidR="00511E5D" w:rsidRDefault="00511E5D" w:rsidP="005D5595">
            <w:pPr>
              <w:pStyle w:val="NormalWeb"/>
              <w:numPr>
                <w:ilvl w:val="0"/>
                <w:numId w:val="4"/>
              </w:numPr>
              <w:rPr>
                <w:rFonts w:ascii="Calibri" w:hAnsi="Calibri"/>
                <w:color w:val="000000"/>
                <w:sz w:val="22"/>
                <w:szCs w:val="22"/>
                <w:lang w:eastAsia="en-US"/>
              </w:rPr>
            </w:pPr>
            <w:hyperlink r:id="rId52" w:history="1">
              <w:proofErr w:type="spellStart"/>
              <w:r>
                <w:rPr>
                  <w:rStyle w:val="Hyperlink"/>
                  <w:rFonts w:ascii="Calibri" w:hAnsi="Calibri"/>
                  <w:sz w:val="22"/>
                  <w:szCs w:val="22"/>
                  <w:lang w:eastAsia="en-US"/>
                </w:rPr>
                <w:t>TeachMeet</w:t>
              </w:r>
              <w:proofErr w:type="spellEnd"/>
              <w:r>
                <w:rPr>
                  <w:rStyle w:val="Hyperlink"/>
                  <w:rFonts w:ascii="Calibri" w:hAnsi="Calibri"/>
                  <w:sz w:val="22"/>
                  <w:szCs w:val="22"/>
                  <w:lang w:eastAsia="en-US"/>
                </w:rPr>
                <w:t xml:space="preserve"> </w:t>
              </w:r>
              <w:proofErr w:type="spellStart"/>
              <w:r>
                <w:rPr>
                  <w:rStyle w:val="Hyperlink"/>
                  <w:rFonts w:ascii="Calibri" w:hAnsi="Calibri"/>
                  <w:sz w:val="22"/>
                  <w:szCs w:val="22"/>
                  <w:lang w:eastAsia="en-US"/>
                </w:rPr>
                <w:t>ScienceWorks</w:t>
              </w:r>
              <w:proofErr w:type="spellEnd"/>
              <w:r>
                <w:rPr>
                  <w:rStyle w:val="Hyperlink"/>
                  <w:rFonts w:ascii="Calibri" w:hAnsi="Calibri"/>
                  <w:sz w:val="22"/>
                  <w:szCs w:val="22"/>
                  <w:lang w:eastAsia="en-US"/>
                </w:rPr>
                <w:t>:</w:t>
              </w:r>
            </w:hyperlink>
            <w:r>
              <w:rPr>
                <w:rFonts w:ascii="Calibri" w:hAnsi="Calibri"/>
                <w:color w:val="1F497D"/>
                <w:sz w:val="22"/>
                <w:szCs w:val="22"/>
                <w:lang w:eastAsia="en-US"/>
              </w:rPr>
              <w:t xml:space="preserve"> 29 November</w:t>
            </w:r>
          </w:p>
        </w:tc>
      </w:tr>
      <w:tr w:rsidR="00511E5D" w:rsidTr="00511E5D">
        <w:tc>
          <w:tcPr>
            <w:tcW w:w="5000" w:type="pct"/>
            <w:gridSpan w:val="15"/>
            <w:shd w:val="clear" w:color="auto" w:fill="F79646"/>
            <w:tcMar>
              <w:top w:w="0" w:type="dxa"/>
              <w:left w:w="108" w:type="dxa"/>
              <w:bottom w:w="0" w:type="dxa"/>
              <w:right w:w="108" w:type="dxa"/>
            </w:tcMar>
            <w:vAlign w:val="center"/>
            <w:hideMark/>
          </w:tcPr>
          <w:p w:rsidR="00511E5D" w:rsidRDefault="00511E5D">
            <w:pPr>
              <w:rPr>
                <w:b/>
                <w:bCs/>
                <w:color w:val="FFFFFF"/>
                <w:sz w:val="28"/>
                <w:szCs w:val="28"/>
                <w:lang w:eastAsia="en-AU"/>
              </w:rPr>
            </w:pPr>
            <w:r>
              <w:rPr>
                <w:b/>
                <w:bCs/>
                <w:color w:val="FFFFFF"/>
                <w:sz w:val="28"/>
                <w:szCs w:val="28"/>
                <w:lang w:eastAsia="en-AU"/>
              </w:rPr>
              <w:t>Resources</w:t>
            </w:r>
            <w:r>
              <w:rPr>
                <w:b/>
                <w:bCs/>
                <w:color w:val="1F497D"/>
                <w:sz w:val="28"/>
                <w:szCs w:val="28"/>
                <w:lang w:eastAsia="en-AU"/>
              </w:rPr>
              <w:t xml:space="preserve"> </w:t>
            </w:r>
          </w:p>
        </w:tc>
      </w:tr>
      <w:tr w:rsidR="00511E5D" w:rsidTr="00511E5D">
        <w:tc>
          <w:tcPr>
            <w:tcW w:w="1021" w:type="pct"/>
            <w:tcMar>
              <w:top w:w="0" w:type="dxa"/>
              <w:left w:w="108" w:type="dxa"/>
              <w:bottom w:w="0" w:type="dxa"/>
              <w:right w:w="108" w:type="dxa"/>
            </w:tcMar>
            <w:vAlign w:val="center"/>
          </w:tcPr>
          <w:p w:rsidR="00511E5D" w:rsidRDefault="00511E5D">
            <w:pPr>
              <w:jc w:val="center"/>
              <w:rPr>
                <w:rFonts w:ascii="Times New Roman" w:hAnsi="Times New Roman"/>
                <w:sz w:val="20"/>
                <w:szCs w:val="20"/>
                <w:lang w:eastAsia="en-AU"/>
              </w:rPr>
            </w:pPr>
            <w:r>
              <w:rPr>
                <w:noProof/>
                <w:lang w:eastAsia="en-AU"/>
              </w:rPr>
              <w:drawing>
                <wp:inline distT="0" distB="0" distL="0" distR="0" wp14:anchorId="260C03AE" wp14:editId="35F5F4C4">
                  <wp:extent cx="1226185" cy="803910"/>
                  <wp:effectExtent l="0" t="0" r="0" b="0"/>
                  <wp:docPr id="2" name="Picture 2" descr="cid:image006.png@01CFEE20.3FACD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6.png@01CFEE20.3FACD810"/>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1226185" cy="803910"/>
                          </a:xfrm>
                          <a:prstGeom prst="rect">
                            <a:avLst/>
                          </a:prstGeom>
                          <a:noFill/>
                          <a:ln>
                            <a:noFill/>
                          </a:ln>
                        </pic:spPr>
                      </pic:pic>
                    </a:graphicData>
                  </a:graphic>
                </wp:inline>
              </w:drawing>
            </w:r>
          </w:p>
          <w:p w:rsidR="00511E5D" w:rsidRDefault="00511E5D">
            <w:pPr>
              <w:jc w:val="center"/>
              <w:rPr>
                <w:rFonts w:ascii="Times New Roman" w:hAnsi="Times New Roman"/>
                <w:sz w:val="20"/>
                <w:szCs w:val="20"/>
                <w:lang w:eastAsia="en-AU"/>
              </w:rPr>
            </w:pPr>
          </w:p>
        </w:tc>
        <w:tc>
          <w:tcPr>
            <w:tcW w:w="3979" w:type="pct"/>
            <w:gridSpan w:val="14"/>
            <w:tcMar>
              <w:top w:w="0" w:type="dxa"/>
              <w:left w:w="108" w:type="dxa"/>
              <w:bottom w:w="0" w:type="dxa"/>
              <w:right w:w="108" w:type="dxa"/>
            </w:tcMar>
            <w:hideMark/>
          </w:tcPr>
          <w:p w:rsidR="00511E5D" w:rsidRDefault="00511E5D" w:rsidP="005D5595">
            <w:pPr>
              <w:pStyle w:val="ListParagraph"/>
              <w:numPr>
                <w:ilvl w:val="0"/>
                <w:numId w:val="3"/>
              </w:numPr>
              <w:ind w:right="91"/>
              <w:rPr>
                <w:rFonts w:ascii="Arial" w:hAnsi="Arial" w:cs="Arial"/>
                <w:color w:val="333333"/>
                <w:sz w:val="18"/>
                <w:szCs w:val="18"/>
              </w:rPr>
            </w:pPr>
            <w:hyperlink r:id="rId55" w:history="1">
              <w:r>
                <w:rPr>
                  <w:rStyle w:val="Hyperlink"/>
                  <w:color w:val="1F497D"/>
                  <w:lang w:eastAsia="en-US"/>
                </w:rPr>
                <w:t>Children's Week 18 - 26 Oct</w:t>
              </w:r>
            </w:hyperlink>
            <w:r>
              <w:rPr>
                <w:color w:val="1F497D"/>
                <w:lang w:eastAsia="en-US"/>
              </w:rPr>
              <w:t xml:space="preserve"> - This program recognises the talents, skills, achievements and rights of young people. Based on the articles expressed in the United Nations Convention on the Rights of the Child, it highlights play, wellbeing and protection. The theme focuses on every child's right to speak and be heard.</w:t>
            </w:r>
          </w:p>
        </w:tc>
      </w:tr>
      <w:tr w:rsidR="00511E5D" w:rsidTr="00511E5D">
        <w:tc>
          <w:tcPr>
            <w:tcW w:w="1021" w:type="pct"/>
            <w:tcMar>
              <w:top w:w="0" w:type="dxa"/>
              <w:left w:w="108" w:type="dxa"/>
              <w:bottom w:w="0" w:type="dxa"/>
              <w:right w:w="108" w:type="dxa"/>
            </w:tcMar>
            <w:vAlign w:val="center"/>
            <w:hideMark/>
          </w:tcPr>
          <w:p w:rsidR="00511E5D" w:rsidRDefault="00511E5D">
            <w:pPr>
              <w:jc w:val="center"/>
              <w:rPr>
                <w:lang w:eastAsia="en-AU"/>
              </w:rPr>
            </w:pPr>
            <w:r>
              <w:rPr>
                <w:noProof/>
                <w:lang w:eastAsia="en-AU"/>
              </w:rPr>
              <w:drawing>
                <wp:inline distT="0" distB="0" distL="0" distR="0" wp14:anchorId="37BBD2C7" wp14:editId="3B91F263">
                  <wp:extent cx="1145540" cy="743585"/>
                  <wp:effectExtent l="0" t="0" r="0" b="0"/>
                  <wp:docPr id="1" name="Picture 1" descr="cid:image007.png@01CFEE20.3FACD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7.png@01CFEE20.3FACD810"/>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1145540" cy="743585"/>
                          </a:xfrm>
                          <a:prstGeom prst="rect">
                            <a:avLst/>
                          </a:prstGeom>
                          <a:noFill/>
                          <a:ln>
                            <a:noFill/>
                          </a:ln>
                        </pic:spPr>
                      </pic:pic>
                    </a:graphicData>
                  </a:graphic>
                </wp:inline>
              </w:drawing>
            </w:r>
          </w:p>
        </w:tc>
        <w:tc>
          <w:tcPr>
            <w:tcW w:w="3979" w:type="pct"/>
            <w:gridSpan w:val="14"/>
            <w:tcMar>
              <w:top w:w="0" w:type="dxa"/>
              <w:left w:w="108" w:type="dxa"/>
              <w:bottom w:w="0" w:type="dxa"/>
              <w:right w:w="108" w:type="dxa"/>
            </w:tcMar>
            <w:hideMark/>
          </w:tcPr>
          <w:p w:rsidR="00511E5D" w:rsidRDefault="00511E5D" w:rsidP="005D5595">
            <w:pPr>
              <w:pStyle w:val="ListParagraph"/>
              <w:numPr>
                <w:ilvl w:val="0"/>
                <w:numId w:val="3"/>
              </w:numPr>
              <w:ind w:right="91"/>
              <w:rPr>
                <w:rFonts w:ascii="Arial" w:hAnsi="Arial" w:cs="Arial"/>
                <w:color w:val="333333"/>
                <w:sz w:val="18"/>
                <w:szCs w:val="18"/>
              </w:rPr>
            </w:pPr>
            <w:hyperlink r:id="rId58" w:history="1">
              <w:r>
                <w:rPr>
                  <w:rStyle w:val="Hyperlink"/>
                  <w:color w:val="1F497D"/>
                  <w:lang w:eastAsia="en-US"/>
                </w:rPr>
                <w:t>#</w:t>
              </w:r>
              <w:proofErr w:type="spellStart"/>
              <w:r>
                <w:rPr>
                  <w:rStyle w:val="Hyperlink"/>
                  <w:color w:val="1F497D"/>
                  <w:lang w:eastAsia="en-US"/>
                </w:rPr>
                <w:t>GameOn</w:t>
              </w:r>
              <w:proofErr w:type="spellEnd"/>
            </w:hyperlink>
            <w:r>
              <w:rPr>
                <w:color w:val="1F497D"/>
                <w:lang w:eastAsia="en-US"/>
              </w:rPr>
              <w:t xml:space="preserve"> - A </w:t>
            </w:r>
            <w:proofErr w:type="spellStart"/>
            <w:r>
              <w:rPr>
                <w:color w:val="1F497D"/>
                <w:lang w:eastAsia="en-US"/>
              </w:rPr>
              <w:t>cybersafety</w:t>
            </w:r>
            <w:proofErr w:type="spellEnd"/>
            <w:r>
              <w:rPr>
                <w:color w:val="1F497D"/>
                <w:lang w:eastAsia="en-US"/>
              </w:rPr>
              <w:t xml:space="preserve"> video series following the online experiences of a group of secondary students launched on 16 Oct. The students deal with the consequences of making poor decisions online, with topics including </w:t>
            </w:r>
            <w:proofErr w:type="spellStart"/>
            <w:r>
              <w:rPr>
                <w:color w:val="1F497D"/>
                <w:lang w:eastAsia="en-US"/>
              </w:rPr>
              <w:t>cyberbullying</w:t>
            </w:r>
            <w:proofErr w:type="spellEnd"/>
            <w:r>
              <w:rPr>
                <w:color w:val="1F497D"/>
                <w:lang w:eastAsia="en-US"/>
              </w:rPr>
              <w:t>, sharing passwords, online friends and more. Lesson plans and teacher resources available.</w:t>
            </w:r>
          </w:p>
        </w:tc>
      </w:tr>
      <w:tr w:rsidR="00511E5D" w:rsidTr="00511E5D">
        <w:tc>
          <w:tcPr>
            <w:tcW w:w="5000" w:type="pct"/>
            <w:gridSpan w:val="15"/>
            <w:tcMar>
              <w:top w:w="0" w:type="dxa"/>
              <w:left w:w="108" w:type="dxa"/>
              <w:bottom w:w="0" w:type="dxa"/>
              <w:right w:w="108" w:type="dxa"/>
            </w:tcMar>
            <w:hideMark/>
          </w:tcPr>
          <w:p w:rsidR="00511E5D" w:rsidRDefault="00511E5D">
            <w:pPr>
              <w:rPr>
                <w:rFonts w:ascii="Times New Roman" w:eastAsia="Times New Roman" w:hAnsi="Times New Roman"/>
                <w:sz w:val="20"/>
                <w:szCs w:val="20"/>
                <w:lang w:eastAsia="en-AU"/>
              </w:rPr>
            </w:pPr>
          </w:p>
        </w:tc>
      </w:tr>
      <w:tr w:rsidR="00511E5D" w:rsidTr="00511E5D">
        <w:trPr>
          <w:trHeight w:val="309"/>
        </w:trPr>
        <w:tc>
          <w:tcPr>
            <w:tcW w:w="5000" w:type="pct"/>
            <w:gridSpan w:val="15"/>
            <w:shd w:val="clear" w:color="auto" w:fill="F79646"/>
            <w:tcMar>
              <w:top w:w="0" w:type="dxa"/>
              <w:left w:w="108" w:type="dxa"/>
              <w:bottom w:w="0" w:type="dxa"/>
              <w:right w:w="108" w:type="dxa"/>
            </w:tcMar>
            <w:vAlign w:val="center"/>
            <w:hideMark/>
          </w:tcPr>
          <w:p w:rsidR="00511E5D" w:rsidRDefault="00511E5D">
            <w:pPr>
              <w:rPr>
                <w:b/>
                <w:bCs/>
                <w:color w:val="FFFFFF"/>
                <w:sz w:val="28"/>
                <w:szCs w:val="28"/>
                <w:lang w:eastAsia="en-AU"/>
              </w:rPr>
            </w:pPr>
            <w:r>
              <w:rPr>
                <w:b/>
                <w:bCs/>
                <w:color w:val="FFFFFF"/>
                <w:sz w:val="28"/>
                <w:szCs w:val="28"/>
                <w:lang w:eastAsia="en-AU"/>
              </w:rPr>
              <w:t>Research</w:t>
            </w:r>
          </w:p>
        </w:tc>
      </w:tr>
      <w:tr w:rsidR="00511E5D" w:rsidTr="00511E5D">
        <w:trPr>
          <w:trHeight w:val="309"/>
        </w:trPr>
        <w:tc>
          <w:tcPr>
            <w:tcW w:w="1021" w:type="pct"/>
            <w:tcMar>
              <w:top w:w="0" w:type="dxa"/>
              <w:left w:w="108" w:type="dxa"/>
              <w:bottom w:w="0" w:type="dxa"/>
              <w:right w:w="108" w:type="dxa"/>
            </w:tcMar>
            <w:vAlign w:val="center"/>
            <w:hideMark/>
          </w:tcPr>
          <w:p w:rsidR="00511E5D" w:rsidRDefault="00511E5D">
            <w:pPr>
              <w:pStyle w:val="ListParagraph"/>
              <w:spacing w:before="100" w:beforeAutospacing="1" w:after="100" w:afterAutospacing="1"/>
              <w:ind w:left="0"/>
            </w:pPr>
            <w:r>
              <w:rPr>
                <w:noProof/>
              </w:rPr>
              <w:drawing>
                <wp:inline distT="0" distB="0" distL="0" distR="0" wp14:anchorId="690C8E7D" wp14:editId="21C3390A">
                  <wp:extent cx="1236980" cy="273685"/>
                  <wp:effectExtent l="0" t="304800" r="0" b="2978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1807435">
                            <a:off x="0" y="0"/>
                            <a:ext cx="1236980" cy="273685"/>
                          </a:xfrm>
                          <a:prstGeom prst="rect">
                            <a:avLst/>
                          </a:prstGeom>
                          <a:noFill/>
                        </pic:spPr>
                      </pic:pic>
                    </a:graphicData>
                  </a:graphic>
                </wp:inline>
              </w:drawing>
            </w:r>
          </w:p>
        </w:tc>
        <w:tc>
          <w:tcPr>
            <w:tcW w:w="3979" w:type="pct"/>
            <w:gridSpan w:val="14"/>
            <w:vAlign w:val="center"/>
            <w:hideMark/>
          </w:tcPr>
          <w:p w:rsidR="00511E5D" w:rsidRDefault="00511E5D">
            <w:pPr>
              <w:spacing w:before="100" w:beforeAutospacing="1" w:after="100" w:afterAutospacing="1"/>
              <w:ind w:left="360"/>
              <w:rPr>
                <w:rStyle w:val="Hyperlink"/>
                <w:color w:val="1F497D"/>
                <w:u w:val="none"/>
              </w:rPr>
            </w:pPr>
            <w:r>
              <w:rPr>
                <w:rStyle w:val="Hyperlink"/>
                <w:color w:val="1F497D"/>
              </w:rPr>
              <w:t>A Policy Agenda for a 21</w:t>
            </w:r>
            <w:r>
              <w:rPr>
                <w:rStyle w:val="Hyperlink"/>
                <w:color w:val="1F497D"/>
                <w:vertAlign w:val="superscript"/>
              </w:rPr>
              <w:t>st</w:t>
            </w:r>
            <w:r>
              <w:rPr>
                <w:rStyle w:val="Hyperlink"/>
                <w:color w:val="1F497D"/>
              </w:rPr>
              <w:t xml:space="preserve"> Century</w:t>
            </w:r>
          </w:p>
          <w:p w:rsidR="00511E5D" w:rsidRDefault="00511E5D">
            <w:pPr>
              <w:spacing w:before="100" w:beforeAutospacing="1" w:after="100" w:afterAutospacing="1"/>
              <w:ind w:left="360"/>
            </w:pPr>
            <w:r>
              <w:rPr>
                <w:color w:val="1F497D"/>
              </w:rPr>
              <w:t xml:space="preserve">Dixon, Bruce and </w:t>
            </w:r>
            <w:proofErr w:type="spellStart"/>
            <w:r>
              <w:rPr>
                <w:color w:val="1F497D"/>
              </w:rPr>
              <w:t>Einhorn</w:t>
            </w:r>
            <w:proofErr w:type="spellEnd"/>
            <w:r>
              <w:rPr>
                <w:color w:val="1F497D"/>
              </w:rPr>
              <w:t>, Susan, A Policy Agenda for a 21st-Century Education (June 30, 2014). Available at SSRN: </w:t>
            </w:r>
            <w:hyperlink r:id="rId60" w:tgtFrame="_blank" w:history="1">
              <w:r>
                <w:rPr>
                  <w:rStyle w:val="Hyperlink"/>
                  <w:color w:val="1F497D"/>
                </w:rPr>
                <w:t>http://ssrn.com/abstract=2460703</w:t>
              </w:r>
            </w:hyperlink>
            <w:r>
              <w:rPr>
                <w:color w:val="1F497D"/>
              </w:rPr>
              <w:t> or </w:t>
            </w:r>
            <w:hyperlink r:id="rId61" w:tgtFrame="_blank" w:history="1">
              <w:r>
                <w:rPr>
                  <w:rStyle w:val="Hyperlink"/>
                  <w:color w:val="1F497D"/>
                </w:rPr>
                <w:t>http://dx.doi.org/10.2139/ssrn.2460703</w:t>
              </w:r>
            </w:hyperlink>
          </w:p>
          <w:p w:rsidR="00511E5D" w:rsidRDefault="00511E5D">
            <w:pPr>
              <w:spacing w:before="100" w:beforeAutospacing="1" w:after="100" w:afterAutospacing="1"/>
              <w:ind w:left="360"/>
            </w:pPr>
            <w:r>
              <w:rPr>
                <w:i/>
                <w:iCs/>
                <w:color w:val="1F497D"/>
              </w:rPr>
              <w:t>“For more than three decades, educational technology has been a policy minefield. Lacking any incontroverti</w:t>
            </w:r>
            <w:bookmarkStart w:id="0" w:name="_GoBack"/>
            <w:bookmarkEnd w:id="0"/>
            <w:r>
              <w:rPr>
                <w:i/>
                <w:iCs/>
                <w:color w:val="1F497D"/>
              </w:rPr>
              <w:t xml:space="preserve">ble proof of benefit, it has continually struggled to build a case for funding, yet paradoxically, it has commandeered a substantial percentage of educational budgets worldwide…”  </w:t>
            </w:r>
            <w:hyperlink r:id="rId62" w:history="1">
              <w:r>
                <w:rPr>
                  <w:rStyle w:val="Hyperlink"/>
                  <w:i/>
                  <w:iCs/>
                </w:rPr>
                <w:t>read more</w:t>
              </w:r>
            </w:hyperlink>
          </w:p>
        </w:tc>
      </w:tr>
      <w:tr w:rsidR="00511E5D" w:rsidTr="00511E5D">
        <w:trPr>
          <w:trHeight w:val="309"/>
        </w:trPr>
        <w:tc>
          <w:tcPr>
            <w:tcW w:w="5000" w:type="pct"/>
            <w:gridSpan w:val="15"/>
            <w:tcMar>
              <w:top w:w="0" w:type="dxa"/>
              <w:left w:w="108" w:type="dxa"/>
              <w:bottom w:w="0" w:type="dxa"/>
              <w:right w:w="108" w:type="dxa"/>
            </w:tcMar>
            <w:vAlign w:val="center"/>
          </w:tcPr>
          <w:p w:rsidR="00511E5D" w:rsidRDefault="00511E5D">
            <w:pPr>
              <w:pStyle w:val="ListParagraph"/>
              <w:spacing w:before="100" w:beforeAutospacing="1" w:after="100" w:afterAutospacing="1"/>
              <w:rPr>
                <w:b/>
                <w:bCs/>
                <w:color w:val="FFFFFF"/>
                <w:sz w:val="28"/>
                <w:szCs w:val="28"/>
              </w:rPr>
            </w:pPr>
          </w:p>
        </w:tc>
      </w:tr>
      <w:tr w:rsidR="00511E5D" w:rsidTr="00511E5D">
        <w:trPr>
          <w:trHeight w:val="309"/>
        </w:trPr>
        <w:tc>
          <w:tcPr>
            <w:tcW w:w="5000" w:type="pct"/>
            <w:gridSpan w:val="15"/>
            <w:shd w:val="clear" w:color="auto" w:fill="F79646"/>
            <w:tcMar>
              <w:top w:w="0" w:type="dxa"/>
              <w:left w:w="108" w:type="dxa"/>
              <w:bottom w:w="0" w:type="dxa"/>
              <w:right w:w="108" w:type="dxa"/>
            </w:tcMar>
            <w:vAlign w:val="center"/>
            <w:hideMark/>
          </w:tcPr>
          <w:p w:rsidR="00511E5D" w:rsidRDefault="00511E5D">
            <w:pPr>
              <w:rPr>
                <w:b/>
                <w:bCs/>
                <w:color w:val="FFFFFF"/>
                <w:sz w:val="28"/>
                <w:szCs w:val="28"/>
                <w:lang w:eastAsia="en-AU"/>
              </w:rPr>
            </w:pPr>
            <w:r>
              <w:rPr>
                <w:b/>
                <w:bCs/>
                <w:color w:val="FFFFFF"/>
                <w:sz w:val="28"/>
                <w:szCs w:val="28"/>
                <w:lang w:eastAsia="en-AU"/>
              </w:rPr>
              <w:t>DEECD Circulars</w:t>
            </w:r>
          </w:p>
        </w:tc>
      </w:tr>
      <w:tr w:rsidR="00511E5D" w:rsidTr="00511E5D">
        <w:tc>
          <w:tcPr>
            <w:tcW w:w="5000" w:type="pct"/>
            <w:gridSpan w:val="15"/>
            <w:tcMar>
              <w:top w:w="0" w:type="dxa"/>
              <w:left w:w="108" w:type="dxa"/>
              <w:bottom w:w="0" w:type="dxa"/>
              <w:right w:w="108" w:type="dxa"/>
            </w:tcMar>
            <w:vAlign w:val="center"/>
            <w:hideMark/>
          </w:tcPr>
          <w:p w:rsidR="00511E5D" w:rsidRDefault="00511E5D">
            <w:pPr>
              <w:rPr>
                <w:rFonts w:ascii="Times New Roman" w:eastAsia="Times New Roman" w:hAnsi="Times New Roman"/>
                <w:sz w:val="20"/>
                <w:szCs w:val="20"/>
                <w:lang w:eastAsia="en-AU"/>
              </w:rPr>
            </w:pPr>
          </w:p>
        </w:tc>
      </w:tr>
      <w:tr w:rsidR="00511E5D" w:rsidTr="00511E5D">
        <w:tc>
          <w:tcPr>
            <w:tcW w:w="5000" w:type="pct"/>
            <w:gridSpan w:val="15"/>
            <w:vAlign w:val="center"/>
            <w:hideMark/>
          </w:tcPr>
          <w:p w:rsidR="00511E5D" w:rsidRDefault="00511E5D">
            <w:pPr>
              <w:rPr>
                <w:rFonts w:ascii="Times New Roman" w:eastAsia="Times New Roman" w:hAnsi="Times New Roman"/>
                <w:sz w:val="20"/>
                <w:szCs w:val="20"/>
                <w:lang w:eastAsia="en-AU"/>
              </w:rPr>
            </w:pPr>
          </w:p>
        </w:tc>
      </w:tr>
      <w:tr w:rsidR="00511E5D" w:rsidTr="00511E5D">
        <w:tc>
          <w:tcPr>
            <w:tcW w:w="1021" w:type="pct"/>
            <w:vAlign w:val="center"/>
            <w:hideMark/>
          </w:tcPr>
          <w:p w:rsidR="00511E5D" w:rsidRDefault="00511E5D">
            <w:pPr>
              <w:rPr>
                <w:rFonts w:ascii="Times New Roman" w:eastAsia="Times New Roman" w:hAnsi="Times New Roman"/>
                <w:sz w:val="20"/>
                <w:szCs w:val="20"/>
                <w:lang w:eastAsia="en-AU"/>
              </w:rPr>
            </w:pPr>
          </w:p>
        </w:tc>
        <w:tc>
          <w:tcPr>
            <w:tcW w:w="3" w:type="pct"/>
            <w:vAlign w:val="center"/>
            <w:hideMark/>
          </w:tcPr>
          <w:p w:rsidR="00511E5D" w:rsidRDefault="00511E5D">
            <w:pPr>
              <w:rPr>
                <w:rFonts w:ascii="Times New Roman" w:eastAsia="Times New Roman" w:hAnsi="Times New Roman"/>
                <w:sz w:val="20"/>
                <w:szCs w:val="20"/>
                <w:lang w:eastAsia="en-AU"/>
              </w:rPr>
            </w:pPr>
          </w:p>
        </w:tc>
        <w:tc>
          <w:tcPr>
            <w:tcW w:w="5" w:type="pct"/>
            <w:gridSpan w:val="2"/>
            <w:vAlign w:val="center"/>
            <w:hideMark/>
          </w:tcPr>
          <w:p w:rsidR="00511E5D" w:rsidRDefault="00511E5D">
            <w:pPr>
              <w:rPr>
                <w:rFonts w:ascii="Times New Roman" w:eastAsia="Times New Roman" w:hAnsi="Times New Roman"/>
                <w:sz w:val="20"/>
                <w:szCs w:val="20"/>
                <w:lang w:eastAsia="en-AU"/>
              </w:rPr>
            </w:pPr>
          </w:p>
        </w:tc>
        <w:tc>
          <w:tcPr>
            <w:tcW w:w="387" w:type="pct"/>
            <w:vAlign w:val="center"/>
            <w:hideMark/>
          </w:tcPr>
          <w:p w:rsidR="00511E5D" w:rsidRDefault="00511E5D">
            <w:pPr>
              <w:rPr>
                <w:rFonts w:ascii="Times New Roman" w:eastAsia="Times New Roman" w:hAnsi="Times New Roman"/>
                <w:sz w:val="20"/>
                <w:szCs w:val="20"/>
                <w:lang w:eastAsia="en-AU"/>
              </w:rPr>
            </w:pPr>
          </w:p>
        </w:tc>
        <w:tc>
          <w:tcPr>
            <w:tcW w:w="300" w:type="pct"/>
            <w:vAlign w:val="center"/>
            <w:hideMark/>
          </w:tcPr>
          <w:p w:rsidR="00511E5D" w:rsidRDefault="00511E5D">
            <w:pPr>
              <w:rPr>
                <w:rFonts w:ascii="Times New Roman" w:eastAsia="Times New Roman" w:hAnsi="Times New Roman"/>
                <w:sz w:val="20"/>
                <w:szCs w:val="20"/>
                <w:lang w:eastAsia="en-AU"/>
              </w:rPr>
            </w:pPr>
          </w:p>
        </w:tc>
        <w:tc>
          <w:tcPr>
            <w:tcW w:w="323" w:type="pct"/>
            <w:vAlign w:val="center"/>
            <w:hideMark/>
          </w:tcPr>
          <w:p w:rsidR="00511E5D" w:rsidRDefault="00511E5D">
            <w:pPr>
              <w:rPr>
                <w:rFonts w:ascii="Times New Roman" w:eastAsia="Times New Roman" w:hAnsi="Times New Roman"/>
                <w:sz w:val="20"/>
                <w:szCs w:val="20"/>
                <w:lang w:eastAsia="en-AU"/>
              </w:rPr>
            </w:pPr>
          </w:p>
        </w:tc>
        <w:tc>
          <w:tcPr>
            <w:tcW w:w="1826" w:type="pct"/>
            <w:gridSpan w:val="4"/>
            <w:vAlign w:val="center"/>
            <w:hideMark/>
          </w:tcPr>
          <w:p w:rsidR="00511E5D" w:rsidRDefault="00511E5D">
            <w:pPr>
              <w:rPr>
                <w:rFonts w:ascii="Times New Roman" w:eastAsia="Times New Roman" w:hAnsi="Times New Roman"/>
                <w:sz w:val="20"/>
                <w:szCs w:val="20"/>
                <w:lang w:eastAsia="en-AU"/>
              </w:rPr>
            </w:pPr>
          </w:p>
        </w:tc>
        <w:tc>
          <w:tcPr>
            <w:tcW w:w="198" w:type="pct"/>
            <w:vAlign w:val="center"/>
            <w:hideMark/>
          </w:tcPr>
          <w:p w:rsidR="00511E5D" w:rsidRDefault="00511E5D">
            <w:pPr>
              <w:rPr>
                <w:rFonts w:ascii="Times New Roman" w:eastAsia="Times New Roman" w:hAnsi="Times New Roman"/>
                <w:sz w:val="20"/>
                <w:szCs w:val="20"/>
                <w:lang w:eastAsia="en-AU"/>
              </w:rPr>
            </w:pPr>
          </w:p>
        </w:tc>
        <w:tc>
          <w:tcPr>
            <w:tcW w:w="244" w:type="pct"/>
            <w:vAlign w:val="center"/>
            <w:hideMark/>
          </w:tcPr>
          <w:p w:rsidR="00511E5D" w:rsidRDefault="00511E5D">
            <w:pPr>
              <w:rPr>
                <w:rFonts w:ascii="Times New Roman" w:eastAsia="Times New Roman" w:hAnsi="Times New Roman"/>
                <w:sz w:val="20"/>
                <w:szCs w:val="20"/>
                <w:lang w:eastAsia="en-AU"/>
              </w:rPr>
            </w:pPr>
          </w:p>
        </w:tc>
        <w:tc>
          <w:tcPr>
            <w:tcW w:w="150" w:type="pct"/>
            <w:vAlign w:val="center"/>
            <w:hideMark/>
          </w:tcPr>
          <w:p w:rsidR="00511E5D" w:rsidRDefault="00511E5D">
            <w:pPr>
              <w:rPr>
                <w:rFonts w:ascii="Times New Roman" w:eastAsia="Times New Roman" w:hAnsi="Times New Roman"/>
                <w:sz w:val="20"/>
                <w:szCs w:val="20"/>
                <w:lang w:eastAsia="en-AU"/>
              </w:rPr>
            </w:pPr>
          </w:p>
        </w:tc>
        <w:tc>
          <w:tcPr>
            <w:tcW w:w="543" w:type="pct"/>
            <w:vAlign w:val="center"/>
            <w:hideMark/>
          </w:tcPr>
          <w:p w:rsidR="00511E5D" w:rsidRDefault="00511E5D">
            <w:pPr>
              <w:rPr>
                <w:rFonts w:ascii="Times New Roman" w:eastAsia="Times New Roman" w:hAnsi="Times New Roman"/>
                <w:sz w:val="20"/>
                <w:szCs w:val="20"/>
                <w:lang w:eastAsia="en-AU"/>
              </w:rPr>
            </w:pPr>
          </w:p>
        </w:tc>
      </w:tr>
      <w:tr w:rsidR="00511E5D" w:rsidTr="00511E5D">
        <w:tc>
          <w:tcPr>
            <w:tcW w:w="1021" w:type="pct"/>
            <w:vAlign w:val="center"/>
            <w:hideMark/>
          </w:tcPr>
          <w:p w:rsidR="00511E5D" w:rsidRDefault="00511E5D">
            <w:pPr>
              <w:rPr>
                <w:rFonts w:ascii="Times New Roman" w:eastAsia="Times New Roman" w:hAnsi="Times New Roman"/>
                <w:sz w:val="20"/>
                <w:szCs w:val="20"/>
                <w:lang w:eastAsia="en-AU"/>
              </w:rPr>
            </w:pPr>
          </w:p>
        </w:tc>
        <w:tc>
          <w:tcPr>
            <w:tcW w:w="3" w:type="pct"/>
            <w:vAlign w:val="center"/>
            <w:hideMark/>
          </w:tcPr>
          <w:p w:rsidR="00511E5D" w:rsidRDefault="00511E5D">
            <w:pPr>
              <w:rPr>
                <w:rFonts w:ascii="Times New Roman" w:eastAsia="Times New Roman" w:hAnsi="Times New Roman"/>
                <w:sz w:val="20"/>
                <w:szCs w:val="20"/>
                <w:lang w:eastAsia="en-AU"/>
              </w:rPr>
            </w:pPr>
          </w:p>
        </w:tc>
        <w:tc>
          <w:tcPr>
            <w:tcW w:w="3" w:type="pct"/>
            <w:vAlign w:val="center"/>
            <w:hideMark/>
          </w:tcPr>
          <w:p w:rsidR="00511E5D" w:rsidRDefault="00511E5D">
            <w:pPr>
              <w:rPr>
                <w:rFonts w:ascii="Times New Roman" w:eastAsia="Times New Roman" w:hAnsi="Times New Roman"/>
                <w:sz w:val="20"/>
                <w:szCs w:val="20"/>
                <w:lang w:eastAsia="en-AU"/>
              </w:rPr>
            </w:pPr>
          </w:p>
        </w:tc>
        <w:tc>
          <w:tcPr>
            <w:tcW w:w="3" w:type="pct"/>
            <w:vAlign w:val="center"/>
            <w:hideMark/>
          </w:tcPr>
          <w:p w:rsidR="00511E5D" w:rsidRDefault="00511E5D">
            <w:pPr>
              <w:rPr>
                <w:rFonts w:ascii="Times New Roman" w:eastAsia="Times New Roman" w:hAnsi="Times New Roman"/>
                <w:sz w:val="20"/>
                <w:szCs w:val="20"/>
                <w:lang w:eastAsia="en-AU"/>
              </w:rPr>
            </w:pPr>
          </w:p>
        </w:tc>
        <w:tc>
          <w:tcPr>
            <w:tcW w:w="387" w:type="pct"/>
            <w:vAlign w:val="center"/>
            <w:hideMark/>
          </w:tcPr>
          <w:p w:rsidR="00511E5D" w:rsidRDefault="00511E5D">
            <w:pPr>
              <w:rPr>
                <w:rFonts w:ascii="Times New Roman" w:eastAsia="Times New Roman" w:hAnsi="Times New Roman"/>
                <w:sz w:val="20"/>
                <w:szCs w:val="20"/>
                <w:lang w:eastAsia="en-AU"/>
              </w:rPr>
            </w:pPr>
          </w:p>
        </w:tc>
        <w:tc>
          <w:tcPr>
            <w:tcW w:w="300" w:type="pct"/>
            <w:vAlign w:val="center"/>
            <w:hideMark/>
          </w:tcPr>
          <w:p w:rsidR="00511E5D" w:rsidRDefault="00511E5D">
            <w:pPr>
              <w:rPr>
                <w:rFonts w:ascii="Times New Roman" w:eastAsia="Times New Roman" w:hAnsi="Times New Roman"/>
                <w:sz w:val="20"/>
                <w:szCs w:val="20"/>
                <w:lang w:eastAsia="en-AU"/>
              </w:rPr>
            </w:pPr>
          </w:p>
        </w:tc>
        <w:tc>
          <w:tcPr>
            <w:tcW w:w="323" w:type="pct"/>
            <w:vAlign w:val="center"/>
            <w:hideMark/>
          </w:tcPr>
          <w:p w:rsidR="00511E5D" w:rsidRDefault="00511E5D">
            <w:pPr>
              <w:rPr>
                <w:rFonts w:ascii="Times New Roman" w:eastAsia="Times New Roman" w:hAnsi="Times New Roman"/>
                <w:sz w:val="20"/>
                <w:szCs w:val="20"/>
                <w:lang w:eastAsia="en-AU"/>
              </w:rPr>
            </w:pPr>
          </w:p>
        </w:tc>
        <w:tc>
          <w:tcPr>
            <w:tcW w:w="155" w:type="pct"/>
            <w:vAlign w:val="center"/>
            <w:hideMark/>
          </w:tcPr>
          <w:p w:rsidR="00511E5D" w:rsidRDefault="00511E5D">
            <w:pPr>
              <w:rPr>
                <w:rFonts w:ascii="Times New Roman" w:eastAsia="Times New Roman" w:hAnsi="Times New Roman"/>
                <w:sz w:val="20"/>
                <w:szCs w:val="20"/>
                <w:lang w:eastAsia="en-AU"/>
              </w:rPr>
            </w:pPr>
          </w:p>
        </w:tc>
        <w:tc>
          <w:tcPr>
            <w:tcW w:w="1671" w:type="pct"/>
            <w:gridSpan w:val="3"/>
            <w:vAlign w:val="center"/>
            <w:hideMark/>
          </w:tcPr>
          <w:p w:rsidR="00511E5D" w:rsidRDefault="00511E5D">
            <w:pPr>
              <w:rPr>
                <w:rFonts w:ascii="Times New Roman" w:eastAsia="Times New Roman" w:hAnsi="Times New Roman"/>
                <w:sz w:val="20"/>
                <w:szCs w:val="20"/>
                <w:lang w:eastAsia="en-AU"/>
              </w:rPr>
            </w:pPr>
          </w:p>
        </w:tc>
        <w:tc>
          <w:tcPr>
            <w:tcW w:w="198" w:type="pct"/>
            <w:vAlign w:val="center"/>
            <w:hideMark/>
          </w:tcPr>
          <w:p w:rsidR="00511E5D" w:rsidRDefault="00511E5D">
            <w:pPr>
              <w:rPr>
                <w:rFonts w:ascii="Times New Roman" w:eastAsia="Times New Roman" w:hAnsi="Times New Roman"/>
                <w:sz w:val="20"/>
                <w:szCs w:val="20"/>
                <w:lang w:eastAsia="en-AU"/>
              </w:rPr>
            </w:pPr>
          </w:p>
        </w:tc>
        <w:tc>
          <w:tcPr>
            <w:tcW w:w="244" w:type="pct"/>
            <w:vAlign w:val="center"/>
            <w:hideMark/>
          </w:tcPr>
          <w:p w:rsidR="00511E5D" w:rsidRDefault="00511E5D">
            <w:pPr>
              <w:rPr>
                <w:rFonts w:ascii="Times New Roman" w:eastAsia="Times New Roman" w:hAnsi="Times New Roman"/>
                <w:sz w:val="20"/>
                <w:szCs w:val="20"/>
                <w:lang w:eastAsia="en-AU"/>
              </w:rPr>
            </w:pPr>
          </w:p>
        </w:tc>
        <w:tc>
          <w:tcPr>
            <w:tcW w:w="150" w:type="pct"/>
            <w:vAlign w:val="center"/>
            <w:hideMark/>
          </w:tcPr>
          <w:p w:rsidR="00511E5D" w:rsidRDefault="00511E5D">
            <w:pPr>
              <w:rPr>
                <w:rFonts w:ascii="Times New Roman" w:eastAsia="Times New Roman" w:hAnsi="Times New Roman"/>
                <w:sz w:val="20"/>
                <w:szCs w:val="20"/>
                <w:lang w:eastAsia="en-AU"/>
              </w:rPr>
            </w:pPr>
          </w:p>
        </w:tc>
        <w:tc>
          <w:tcPr>
            <w:tcW w:w="543" w:type="pct"/>
            <w:vAlign w:val="center"/>
            <w:hideMark/>
          </w:tcPr>
          <w:p w:rsidR="00511E5D" w:rsidRDefault="00511E5D">
            <w:pPr>
              <w:rPr>
                <w:rFonts w:ascii="Times New Roman" w:eastAsia="Times New Roman" w:hAnsi="Times New Roman"/>
                <w:sz w:val="20"/>
                <w:szCs w:val="20"/>
                <w:lang w:eastAsia="en-AU"/>
              </w:rPr>
            </w:pPr>
          </w:p>
        </w:tc>
      </w:tr>
      <w:tr w:rsidR="00511E5D" w:rsidTr="00511E5D">
        <w:trPr>
          <w:trHeight w:val="392"/>
        </w:trPr>
        <w:tc>
          <w:tcPr>
            <w:tcW w:w="5000" w:type="pct"/>
            <w:gridSpan w:val="15"/>
            <w:vAlign w:val="center"/>
            <w:hideMark/>
          </w:tcPr>
          <w:p w:rsidR="00511E5D" w:rsidRDefault="00511E5D" w:rsidP="005D5595">
            <w:pPr>
              <w:pStyle w:val="ListParagraph"/>
              <w:numPr>
                <w:ilvl w:val="0"/>
                <w:numId w:val="3"/>
              </w:numPr>
              <w:ind w:right="91"/>
              <w:rPr>
                <w:rFonts w:ascii="Times New Roman" w:hAnsi="Times New Roman"/>
                <w:sz w:val="20"/>
                <w:szCs w:val="20"/>
              </w:rPr>
            </w:pPr>
            <w:hyperlink r:id="rId63" w:history="1">
              <w:r>
                <w:rPr>
                  <w:rStyle w:val="Hyperlink"/>
                  <w:color w:val="1F497D"/>
                  <w:lang w:eastAsia="en-US"/>
                </w:rPr>
                <w:t>Lighting up Learning with Technology</w:t>
              </w:r>
            </w:hyperlink>
            <w:r>
              <w:rPr>
                <w:color w:val="1F497D"/>
                <w:lang w:eastAsia="en-US"/>
              </w:rPr>
              <w:t> - When Secretary Richard Bolt and Deputy Secretary Nick Pole visited Woolsthorpe Primary School earlier this month, they found out how the school's Discovery Learning process has been successfully working in practice during a meeting with one of the students.  </w:t>
            </w:r>
            <w:hyperlink r:id="rId64" w:history="1">
              <w:r>
                <w:rPr>
                  <w:rStyle w:val="Hyperlink"/>
                  <w:i/>
                  <w:iCs/>
                  <w:lang w:eastAsia="en-US"/>
                </w:rPr>
                <w:t>Read more…</w:t>
              </w:r>
            </w:hyperlink>
          </w:p>
        </w:tc>
      </w:tr>
      <w:tr w:rsidR="00511E5D" w:rsidTr="00511E5D">
        <w:trPr>
          <w:trHeight w:val="392"/>
        </w:trPr>
        <w:tc>
          <w:tcPr>
            <w:tcW w:w="5000" w:type="pct"/>
            <w:gridSpan w:val="15"/>
            <w:vAlign w:val="center"/>
          </w:tcPr>
          <w:p w:rsidR="00511E5D" w:rsidRDefault="00511E5D">
            <w:pPr>
              <w:rPr>
                <w:rFonts w:ascii="Times New Roman" w:hAnsi="Times New Roman"/>
                <w:sz w:val="20"/>
                <w:szCs w:val="20"/>
                <w:lang w:eastAsia="en-AU"/>
              </w:rPr>
            </w:pPr>
          </w:p>
        </w:tc>
      </w:tr>
      <w:tr w:rsidR="00511E5D" w:rsidTr="00511E5D">
        <w:tc>
          <w:tcPr>
            <w:tcW w:w="1021" w:type="pct"/>
            <w:vAlign w:val="center"/>
            <w:hideMark/>
          </w:tcPr>
          <w:p w:rsidR="00511E5D" w:rsidRDefault="00511E5D">
            <w:pPr>
              <w:rPr>
                <w:rFonts w:ascii="Times New Roman" w:eastAsia="Times New Roman" w:hAnsi="Times New Roman"/>
                <w:sz w:val="20"/>
                <w:szCs w:val="20"/>
                <w:lang w:eastAsia="en-AU"/>
              </w:rPr>
            </w:pPr>
          </w:p>
        </w:tc>
        <w:tc>
          <w:tcPr>
            <w:tcW w:w="3" w:type="pct"/>
            <w:vAlign w:val="center"/>
            <w:hideMark/>
          </w:tcPr>
          <w:p w:rsidR="00511E5D" w:rsidRDefault="00511E5D">
            <w:pPr>
              <w:rPr>
                <w:rFonts w:ascii="Times New Roman" w:eastAsia="Times New Roman" w:hAnsi="Times New Roman"/>
                <w:sz w:val="20"/>
                <w:szCs w:val="20"/>
                <w:lang w:eastAsia="en-AU"/>
              </w:rPr>
            </w:pPr>
          </w:p>
        </w:tc>
        <w:tc>
          <w:tcPr>
            <w:tcW w:w="3" w:type="pct"/>
            <w:vAlign w:val="center"/>
            <w:hideMark/>
          </w:tcPr>
          <w:p w:rsidR="00511E5D" w:rsidRDefault="00511E5D">
            <w:pPr>
              <w:rPr>
                <w:rFonts w:ascii="Times New Roman" w:eastAsia="Times New Roman" w:hAnsi="Times New Roman"/>
                <w:sz w:val="20"/>
                <w:szCs w:val="20"/>
                <w:lang w:eastAsia="en-AU"/>
              </w:rPr>
            </w:pPr>
          </w:p>
        </w:tc>
        <w:tc>
          <w:tcPr>
            <w:tcW w:w="3" w:type="pct"/>
            <w:vAlign w:val="center"/>
            <w:hideMark/>
          </w:tcPr>
          <w:p w:rsidR="00511E5D" w:rsidRDefault="00511E5D">
            <w:pPr>
              <w:rPr>
                <w:rFonts w:ascii="Times New Roman" w:eastAsia="Times New Roman" w:hAnsi="Times New Roman"/>
                <w:sz w:val="20"/>
                <w:szCs w:val="20"/>
                <w:lang w:eastAsia="en-AU"/>
              </w:rPr>
            </w:pPr>
          </w:p>
        </w:tc>
        <w:tc>
          <w:tcPr>
            <w:tcW w:w="387" w:type="pct"/>
            <w:vAlign w:val="center"/>
            <w:hideMark/>
          </w:tcPr>
          <w:p w:rsidR="00511E5D" w:rsidRDefault="00511E5D">
            <w:pPr>
              <w:rPr>
                <w:rFonts w:ascii="Times New Roman" w:eastAsia="Times New Roman" w:hAnsi="Times New Roman"/>
                <w:sz w:val="20"/>
                <w:szCs w:val="20"/>
                <w:lang w:eastAsia="en-AU"/>
              </w:rPr>
            </w:pPr>
          </w:p>
        </w:tc>
        <w:tc>
          <w:tcPr>
            <w:tcW w:w="300" w:type="pct"/>
            <w:vAlign w:val="center"/>
            <w:hideMark/>
          </w:tcPr>
          <w:p w:rsidR="00511E5D" w:rsidRDefault="00511E5D">
            <w:pPr>
              <w:rPr>
                <w:rFonts w:ascii="Times New Roman" w:eastAsia="Times New Roman" w:hAnsi="Times New Roman"/>
                <w:sz w:val="20"/>
                <w:szCs w:val="20"/>
                <w:lang w:eastAsia="en-AU"/>
              </w:rPr>
            </w:pPr>
          </w:p>
        </w:tc>
        <w:tc>
          <w:tcPr>
            <w:tcW w:w="323" w:type="pct"/>
            <w:vAlign w:val="center"/>
            <w:hideMark/>
          </w:tcPr>
          <w:p w:rsidR="00511E5D" w:rsidRDefault="00511E5D">
            <w:pPr>
              <w:rPr>
                <w:rFonts w:ascii="Times New Roman" w:eastAsia="Times New Roman" w:hAnsi="Times New Roman"/>
                <w:sz w:val="20"/>
                <w:szCs w:val="20"/>
                <w:lang w:eastAsia="en-AU"/>
              </w:rPr>
            </w:pPr>
          </w:p>
        </w:tc>
        <w:tc>
          <w:tcPr>
            <w:tcW w:w="155" w:type="pct"/>
            <w:vAlign w:val="center"/>
            <w:hideMark/>
          </w:tcPr>
          <w:p w:rsidR="00511E5D" w:rsidRDefault="00511E5D">
            <w:pPr>
              <w:rPr>
                <w:rFonts w:ascii="Times New Roman" w:eastAsia="Times New Roman" w:hAnsi="Times New Roman"/>
                <w:sz w:val="20"/>
                <w:szCs w:val="20"/>
                <w:lang w:eastAsia="en-AU"/>
              </w:rPr>
            </w:pPr>
          </w:p>
        </w:tc>
        <w:tc>
          <w:tcPr>
            <w:tcW w:w="114" w:type="pct"/>
            <w:vAlign w:val="center"/>
            <w:hideMark/>
          </w:tcPr>
          <w:p w:rsidR="00511E5D" w:rsidRDefault="00511E5D">
            <w:pPr>
              <w:rPr>
                <w:rFonts w:ascii="Times New Roman" w:eastAsia="Times New Roman" w:hAnsi="Times New Roman"/>
                <w:sz w:val="20"/>
                <w:szCs w:val="20"/>
                <w:lang w:eastAsia="en-AU"/>
              </w:rPr>
            </w:pPr>
          </w:p>
        </w:tc>
        <w:tc>
          <w:tcPr>
            <w:tcW w:w="1405" w:type="pct"/>
            <w:vAlign w:val="center"/>
            <w:hideMark/>
          </w:tcPr>
          <w:p w:rsidR="00511E5D" w:rsidRDefault="00511E5D">
            <w:pPr>
              <w:rPr>
                <w:rFonts w:ascii="Times New Roman" w:eastAsia="Times New Roman" w:hAnsi="Times New Roman"/>
                <w:sz w:val="20"/>
                <w:szCs w:val="20"/>
                <w:lang w:eastAsia="en-AU"/>
              </w:rPr>
            </w:pPr>
          </w:p>
        </w:tc>
        <w:tc>
          <w:tcPr>
            <w:tcW w:w="152" w:type="pct"/>
            <w:vAlign w:val="center"/>
            <w:hideMark/>
          </w:tcPr>
          <w:p w:rsidR="00511E5D" w:rsidRDefault="00511E5D">
            <w:pPr>
              <w:rPr>
                <w:rFonts w:ascii="Times New Roman" w:eastAsia="Times New Roman" w:hAnsi="Times New Roman"/>
                <w:sz w:val="20"/>
                <w:szCs w:val="20"/>
                <w:lang w:eastAsia="en-AU"/>
              </w:rPr>
            </w:pPr>
          </w:p>
        </w:tc>
        <w:tc>
          <w:tcPr>
            <w:tcW w:w="198" w:type="pct"/>
            <w:vAlign w:val="center"/>
            <w:hideMark/>
          </w:tcPr>
          <w:p w:rsidR="00511E5D" w:rsidRDefault="00511E5D">
            <w:pPr>
              <w:rPr>
                <w:rFonts w:ascii="Times New Roman" w:eastAsia="Times New Roman" w:hAnsi="Times New Roman"/>
                <w:sz w:val="20"/>
                <w:szCs w:val="20"/>
                <w:lang w:eastAsia="en-AU"/>
              </w:rPr>
            </w:pPr>
          </w:p>
        </w:tc>
        <w:tc>
          <w:tcPr>
            <w:tcW w:w="244" w:type="pct"/>
            <w:vAlign w:val="center"/>
            <w:hideMark/>
          </w:tcPr>
          <w:p w:rsidR="00511E5D" w:rsidRDefault="00511E5D">
            <w:pPr>
              <w:rPr>
                <w:rFonts w:ascii="Times New Roman" w:eastAsia="Times New Roman" w:hAnsi="Times New Roman"/>
                <w:sz w:val="20"/>
                <w:szCs w:val="20"/>
                <w:lang w:eastAsia="en-AU"/>
              </w:rPr>
            </w:pPr>
          </w:p>
        </w:tc>
        <w:tc>
          <w:tcPr>
            <w:tcW w:w="150" w:type="pct"/>
            <w:vAlign w:val="center"/>
            <w:hideMark/>
          </w:tcPr>
          <w:p w:rsidR="00511E5D" w:rsidRDefault="00511E5D">
            <w:pPr>
              <w:rPr>
                <w:rFonts w:ascii="Times New Roman" w:eastAsia="Times New Roman" w:hAnsi="Times New Roman"/>
                <w:sz w:val="20"/>
                <w:szCs w:val="20"/>
                <w:lang w:eastAsia="en-AU"/>
              </w:rPr>
            </w:pPr>
          </w:p>
        </w:tc>
        <w:tc>
          <w:tcPr>
            <w:tcW w:w="543" w:type="pct"/>
            <w:vAlign w:val="center"/>
            <w:hideMark/>
          </w:tcPr>
          <w:p w:rsidR="00511E5D" w:rsidRDefault="00511E5D">
            <w:pPr>
              <w:rPr>
                <w:rFonts w:ascii="Times New Roman" w:eastAsia="Times New Roman" w:hAnsi="Times New Roman"/>
                <w:sz w:val="20"/>
                <w:szCs w:val="20"/>
                <w:lang w:eastAsia="en-AU"/>
              </w:rPr>
            </w:pPr>
          </w:p>
        </w:tc>
      </w:tr>
    </w:tbl>
    <w:p w:rsidR="00511E5D" w:rsidRDefault="00511E5D" w:rsidP="00511E5D">
      <w:pPr>
        <w:rPr>
          <w:color w:val="1F497D"/>
          <w:lang w:eastAsia="en-AU"/>
        </w:rPr>
      </w:pPr>
    </w:p>
    <w:p w:rsidR="00511E5D" w:rsidRDefault="00511E5D" w:rsidP="00511E5D">
      <w:pPr>
        <w:rPr>
          <w:color w:val="1F497D"/>
          <w:lang w:eastAsia="en-AU"/>
        </w:rPr>
      </w:pPr>
      <w:r>
        <w:rPr>
          <w:color w:val="1F497D"/>
          <w:lang w:eastAsia="en-AU"/>
        </w:rPr>
        <w:t xml:space="preserve">Please feel free to pass this on and contact me on </w:t>
      </w:r>
      <w:hyperlink r:id="rId65" w:history="1">
        <w:r>
          <w:rPr>
            <w:rStyle w:val="Hyperlink"/>
          </w:rPr>
          <w:t>brown.jillian.k@edumail.vic.gov.au</w:t>
        </w:r>
      </w:hyperlink>
      <w:r>
        <w:rPr>
          <w:color w:val="1F497D"/>
          <w:lang w:eastAsia="en-AU"/>
        </w:rPr>
        <w:t xml:space="preserve">  if you have something you wish to share. </w:t>
      </w:r>
    </w:p>
    <w:p w:rsidR="00511E5D" w:rsidRDefault="00511E5D" w:rsidP="00511E5D">
      <w:pPr>
        <w:rPr>
          <w:color w:val="1F497D"/>
          <w:lang w:eastAsia="en-AU"/>
        </w:rPr>
      </w:pPr>
    </w:p>
    <w:p w:rsidR="00511E5D" w:rsidRDefault="00511E5D" w:rsidP="00511E5D">
      <w:pPr>
        <w:rPr>
          <w:color w:val="1F497D"/>
          <w:lang w:eastAsia="en-AU"/>
        </w:rPr>
      </w:pPr>
      <w:r>
        <w:rPr>
          <w:color w:val="1F497D"/>
          <w:lang w:eastAsia="en-AU"/>
        </w:rPr>
        <w:t>Cheers</w:t>
      </w:r>
    </w:p>
    <w:p w:rsidR="00511E5D" w:rsidRDefault="00511E5D" w:rsidP="00511E5D">
      <w:r>
        <w:t>Jillian Brown | Senior Project Officer | Digital Learning Branch</w:t>
      </w:r>
    </w:p>
    <w:p w:rsidR="00511E5D" w:rsidRDefault="00511E5D" w:rsidP="00511E5D"/>
    <w:p w:rsidR="00511E5D" w:rsidRDefault="00511E5D" w:rsidP="00511E5D">
      <w:proofErr w:type="gramStart"/>
      <w:r>
        <w:t>Secondary Reform, Transitions and Priority Cohorts Division.</w:t>
      </w:r>
      <w:proofErr w:type="gramEnd"/>
    </w:p>
    <w:p w:rsidR="00511E5D" w:rsidRDefault="00511E5D" w:rsidP="00511E5D">
      <w:proofErr w:type="gramStart"/>
      <w:r>
        <w:t>Department of Education &amp; Early Childhood Development Level 1, 33 St Andrews Place.</w:t>
      </w:r>
      <w:proofErr w:type="gramEnd"/>
    </w:p>
    <w:p w:rsidR="00511E5D" w:rsidRDefault="00511E5D" w:rsidP="00511E5D">
      <w:r>
        <w:t>East Melbourne 3002</w:t>
      </w:r>
    </w:p>
    <w:p w:rsidR="00511E5D" w:rsidRDefault="00511E5D" w:rsidP="00511E5D">
      <w:r>
        <w:t>Phone: 03 9651 0227</w:t>
      </w:r>
    </w:p>
    <w:p w:rsidR="00511E5D" w:rsidRDefault="00511E5D" w:rsidP="00511E5D">
      <w:r>
        <w:t>Fax: 9637 2184</w:t>
      </w:r>
    </w:p>
    <w:p w:rsidR="00511E5D" w:rsidRDefault="00511E5D" w:rsidP="00511E5D">
      <w:r>
        <w:t xml:space="preserve">Email: </w:t>
      </w:r>
      <w:hyperlink r:id="rId66" w:history="1">
        <w:r>
          <w:rPr>
            <w:rStyle w:val="Hyperlink"/>
          </w:rPr>
          <w:t>brown.jillian.k@edumail.vic.gov.au</w:t>
        </w:r>
      </w:hyperlink>
    </w:p>
    <w:p w:rsidR="00511E5D" w:rsidRDefault="00511E5D" w:rsidP="00511E5D">
      <w:r>
        <w:t xml:space="preserve">Digital Learning Blog: </w:t>
      </w:r>
      <w:hyperlink r:id="rId67" w:history="1">
        <w:r>
          <w:rPr>
            <w:rStyle w:val="Hyperlink"/>
          </w:rPr>
          <w:t>http://diglearning.global2.vic.edu.au/</w:t>
        </w:r>
      </w:hyperlink>
    </w:p>
    <w:p w:rsidR="00511E5D" w:rsidRDefault="00511E5D" w:rsidP="00511E5D">
      <w:pPr>
        <w:rPr>
          <w:b/>
          <w:bCs/>
          <w:i/>
          <w:iCs/>
        </w:rPr>
      </w:pPr>
      <w:proofErr w:type="gramStart"/>
      <w:r>
        <w:rPr>
          <w:b/>
          <w:bCs/>
          <w:i/>
          <w:iCs/>
        </w:rPr>
        <w:t>available</w:t>
      </w:r>
      <w:proofErr w:type="gramEnd"/>
      <w:r>
        <w:rPr>
          <w:b/>
          <w:bCs/>
          <w:i/>
          <w:iCs/>
        </w:rPr>
        <w:t xml:space="preserve"> Monday, Wednesday, Friday</w:t>
      </w:r>
    </w:p>
    <w:p w:rsidR="00511E5D" w:rsidRDefault="00511E5D" w:rsidP="00511E5D">
      <w:pPr>
        <w:rPr>
          <w:color w:val="1F497D"/>
          <w:lang w:eastAsia="en-AU"/>
        </w:rPr>
      </w:pPr>
    </w:p>
    <w:p w:rsidR="00511E5D" w:rsidRDefault="00511E5D" w:rsidP="00511E5D">
      <w:pPr>
        <w:rPr>
          <w:rFonts w:ascii="Arial" w:hAnsi="Arial" w:cs="Arial"/>
          <w:sz w:val="20"/>
          <w:szCs w:val="20"/>
          <w:lang w:eastAsia="en-AU"/>
        </w:rPr>
      </w:pPr>
    </w:p>
    <w:p w:rsidR="00511E5D" w:rsidRDefault="00511E5D" w:rsidP="00511E5D"/>
    <w:p w:rsidR="00511E5D" w:rsidRDefault="00511E5D"/>
    <w:sectPr w:rsidR="00511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8FC"/>
    <w:multiLevelType w:val="hybridMultilevel"/>
    <w:tmpl w:val="01B871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5B714ABC"/>
    <w:multiLevelType w:val="hybridMultilevel"/>
    <w:tmpl w:val="B0DC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96F22E3"/>
    <w:multiLevelType w:val="hybridMultilevel"/>
    <w:tmpl w:val="07F491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71173F2F"/>
    <w:multiLevelType w:val="hybridMultilevel"/>
    <w:tmpl w:val="0DC480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5D"/>
    <w:rsid w:val="00025FBF"/>
    <w:rsid w:val="00511E5D"/>
    <w:rsid w:val="00FD1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5D"/>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511E5D"/>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E5D"/>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511E5D"/>
    <w:rPr>
      <w:color w:val="0000FF"/>
      <w:u w:val="single"/>
    </w:rPr>
  </w:style>
  <w:style w:type="paragraph" w:styleId="NormalWeb">
    <w:name w:val="Normal (Web)"/>
    <w:basedOn w:val="Normal"/>
    <w:uiPriority w:val="99"/>
    <w:unhideWhenUsed/>
    <w:rsid w:val="00511E5D"/>
    <w:rPr>
      <w:rFonts w:ascii="Times New Roman" w:hAnsi="Times New Roman"/>
      <w:sz w:val="24"/>
      <w:szCs w:val="24"/>
      <w:lang w:eastAsia="en-AU"/>
    </w:rPr>
  </w:style>
  <w:style w:type="paragraph" w:styleId="ListParagraph">
    <w:name w:val="List Paragraph"/>
    <w:basedOn w:val="Normal"/>
    <w:uiPriority w:val="34"/>
    <w:qFormat/>
    <w:rsid w:val="00511E5D"/>
    <w:pPr>
      <w:ind w:left="720"/>
    </w:pPr>
    <w:rPr>
      <w:lang w:eastAsia="en-AU"/>
    </w:rPr>
  </w:style>
  <w:style w:type="paragraph" w:styleId="BalloonText">
    <w:name w:val="Balloon Text"/>
    <w:basedOn w:val="Normal"/>
    <w:link w:val="BalloonTextChar"/>
    <w:uiPriority w:val="99"/>
    <w:semiHidden/>
    <w:unhideWhenUsed/>
    <w:rsid w:val="00511E5D"/>
    <w:rPr>
      <w:rFonts w:ascii="Tahoma" w:hAnsi="Tahoma" w:cs="Tahoma"/>
      <w:sz w:val="16"/>
      <w:szCs w:val="16"/>
    </w:rPr>
  </w:style>
  <w:style w:type="character" w:customStyle="1" w:styleId="BalloonTextChar">
    <w:name w:val="Balloon Text Char"/>
    <w:basedOn w:val="DefaultParagraphFont"/>
    <w:link w:val="BalloonText"/>
    <w:uiPriority w:val="99"/>
    <w:semiHidden/>
    <w:rsid w:val="00511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5D"/>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511E5D"/>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E5D"/>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511E5D"/>
    <w:rPr>
      <w:color w:val="0000FF"/>
      <w:u w:val="single"/>
    </w:rPr>
  </w:style>
  <w:style w:type="paragraph" w:styleId="NormalWeb">
    <w:name w:val="Normal (Web)"/>
    <w:basedOn w:val="Normal"/>
    <w:uiPriority w:val="99"/>
    <w:unhideWhenUsed/>
    <w:rsid w:val="00511E5D"/>
    <w:rPr>
      <w:rFonts w:ascii="Times New Roman" w:hAnsi="Times New Roman"/>
      <w:sz w:val="24"/>
      <w:szCs w:val="24"/>
      <w:lang w:eastAsia="en-AU"/>
    </w:rPr>
  </w:style>
  <w:style w:type="paragraph" w:styleId="ListParagraph">
    <w:name w:val="List Paragraph"/>
    <w:basedOn w:val="Normal"/>
    <w:uiPriority w:val="34"/>
    <w:qFormat/>
    <w:rsid w:val="00511E5D"/>
    <w:pPr>
      <w:ind w:left="720"/>
    </w:pPr>
    <w:rPr>
      <w:lang w:eastAsia="en-AU"/>
    </w:rPr>
  </w:style>
  <w:style w:type="paragraph" w:styleId="BalloonText">
    <w:name w:val="Balloon Text"/>
    <w:basedOn w:val="Normal"/>
    <w:link w:val="BalloonTextChar"/>
    <w:uiPriority w:val="99"/>
    <w:semiHidden/>
    <w:unhideWhenUsed/>
    <w:rsid w:val="00511E5D"/>
    <w:rPr>
      <w:rFonts w:ascii="Tahoma" w:hAnsi="Tahoma" w:cs="Tahoma"/>
      <w:sz w:val="16"/>
      <w:szCs w:val="16"/>
    </w:rPr>
  </w:style>
  <w:style w:type="character" w:customStyle="1" w:styleId="BalloonTextChar">
    <w:name w:val="Balloon Text Char"/>
    <w:basedOn w:val="DefaultParagraphFont"/>
    <w:link w:val="BalloonText"/>
    <w:uiPriority w:val="99"/>
    <w:semiHidden/>
    <w:rsid w:val="00511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eshareshape.com.au/share/VC/virtualexcursions.aspx?EventID=7833&amp;SessionID=8213&amp;ActivityID=10899" TargetMode="External"/><Relationship Id="rId18" Type="http://schemas.openxmlformats.org/officeDocument/2006/relationships/hyperlink" Target="mailto:schultz.gary.e@edumail.vic.gov.au" TargetMode="External"/><Relationship Id="rId26" Type="http://schemas.openxmlformats.org/officeDocument/2006/relationships/image" Target="media/image3.jpeg"/><Relationship Id="rId39" Type="http://schemas.openxmlformats.org/officeDocument/2006/relationships/hyperlink" Target="http://dltv.vic.edu.au/events/f2f-407-be-connected-educator-blogging-and-micro-blogging-teachers" TargetMode="External"/><Relationship Id="rId21" Type="http://schemas.openxmlformats.org/officeDocument/2006/relationships/hyperlink" Target="http://issuu.com/deecd_vic/docs/edustar_video_conferencing_guide?mode=embed&amp;layout=http://www.threesacrowd.com.au/clients/deecd/issuu/assets/layout.xml" TargetMode="External"/><Relationship Id="rId34" Type="http://schemas.openxmlformats.org/officeDocument/2006/relationships/hyperlink" Target="http://connectededucator.vic.edu.au/" TargetMode="External"/><Relationship Id="rId42" Type="http://schemas.openxmlformats.org/officeDocument/2006/relationships/image" Target="media/image6.png"/><Relationship Id="rId47" Type="http://schemas.openxmlformats.org/officeDocument/2006/relationships/hyperlink" Target="https://www.acmi.net.au/education/teacher-programs-resources/new-pedagogies-for-deep-learning/" TargetMode="External"/><Relationship Id="rId50" Type="http://schemas.openxmlformats.org/officeDocument/2006/relationships/hyperlink" Target="https://www.eiseverywhere.com/ehome/99778&amp;internal=1" TargetMode="External"/><Relationship Id="rId55" Type="http://schemas.openxmlformats.org/officeDocument/2006/relationships/hyperlink" Target="https://fuse.education.vic.gov.au/pages/Teacher.aspx" TargetMode="External"/><Relationship Id="rId63" Type="http://schemas.openxmlformats.org/officeDocument/2006/relationships/hyperlink" Target="https://edugate.eduweb.vic.gov.au/newsevents/featstories/Pages/Lighting-up-Learning-with-Technology.aspx"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eeshareshape.com.au/share/VC/virtualexcursions.aspx" TargetMode="External"/><Relationship Id="rId29" Type="http://schemas.openxmlformats.org/officeDocument/2006/relationships/hyperlink" Target="http://www.oltaustralia.net/news.asp?stateid=9&amp;schooltype=1" TargetMode="External"/><Relationship Id="rId1" Type="http://schemas.openxmlformats.org/officeDocument/2006/relationships/numbering" Target="numbering.xml"/><Relationship Id="rId6" Type="http://schemas.openxmlformats.org/officeDocument/2006/relationships/hyperlink" Target="http://diglearning.global2.vic.edu.au/" TargetMode="External"/><Relationship Id="rId11" Type="http://schemas.openxmlformats.org/officeDocument/2006/relationships/hyperlink" Target="http://diglearning.global2.vic.edu.au/" TargetMode="External"/><Relationship Id="rId24" Type="http://schemas.openxmlformats.org/officeDocument/2006/relationships/hyperlink" Target="http://diglearning.global2.vic.edu.au/virtual-conferencing/" TargetMode="External"/><Relationship Id="rId32" Type="http://schemas.openxmlformats.org/officeDocument/2006/relationships/image" Target="media/image4.jpeg"/><Relationship Id="rId37" Type="http://schemas.openxmlformats.org/officeDocument/2006/relationships/image" Target="media/image5.jpeg"/><Relationship Id="rId40" Type="http://schemas.openxmlformats.org/officeDocument/2006/relationships/hyperlink" Target="http://dltv.vic.edu.au/events/dltv-talks-leadership" TargetMode="External"/><Relationship Id="rId45" Type="http://schemas.openxmlformats.org/officeDocument/2006/relationships/hyperlink" Target="https://digital-storytelling.attendease.com/" TargetMode="External"/><Relationship Id="rId53" Type="http://schemas.openxmlformats.org/officeDocument/2006/relationships/image" Target="media/image7.png"/><Relationship Id="rId58" Type="http://schemas.openxmlformats.org/officeDocument/2006/relationships/hyperlink" Target="https://fuse.education.vic.gov.au/pages/Teacher.aspx" TargetMode="External"/><Relationship Id="rId66" Type="http://schemas.openxmlformats.org/officeDocument/2006/relationships/hyperlink" Target="mailto:brown.jillian.k@edumail.vic.gov.au" TargetMode="External"/><Relationship Id="rId5" Type="http://schemas.openxmlformats.org/officeDocument/2006/relationships/webSettings" Target="webSettings.xml"/><Relationship Id="rId15" Type="http://schemas.openxmlformats.org/officeDocument/2006/relationships/hyperlink" Target="https://www.seeshareshape.com.au/share/VC/virtualexcursions.aspx?EventID=7832&amp;SessionID=8212&amp;ActivityID=10898" TargetMode="External"/><Relationship Id="rId23" Type="http://schemas.openxmlformats.org/officeDocument/2006/relationships/hyperlink" Target="https://www.bastow.vic.edu.au/educational-leadership/news/Pages/Virtual-Conferencing-in-Education.aspx" TargetMode="External"/><Relationship Id="rId28" Type="http://schemas.openxmlformats.org/officeDocument/2006/relationships/hyperlink" Target="https://fuse.education.vic.gov.au/pages/View.aspx?pin=SRXM9G" TargetMode="External"/><Relationship Id="rId36" Type="http://schemas.openxmlformats.org/officeDocument/2006/relationships/hyperlink" Target="http://connectededucator.vic.edu.au/" TargetMode="External"/><Relationship Id="rId49" Type="http://schemas.openxmlformats.org/officeDocument/2006/relationships/hyperlink" Target="http://teachmeetmelbourne.wikispaces.com/2014+-+Nov+6th+Wesley+College" TargetMode="External"/><Relationship Id="rId57" Type="http://schemas.openxmlformats.org/officeDocument/2006/relationships/image" Target="cid:image007.png@01CFEE20.3FACD810" TargetMode="External"/><Relationship Id="rId61" Type="http://schemas.openxmlformats.org/officeDocument/2006/relationships/hyperlink" Target="http://dx.doi.org/10.2139/ssrn.2460703" TargetMode="External"/><Relationship Id="rId10" Type="http://schemas.openxmlformats.org/officeDocument/2006/relationships/image" Target="cid:image005.png@01CFEE1D.6C72D140" TargetMode="External"/><Relationship Id="rId19" Type="http://schemas.openxmlformats.org/officeDocument/2006/relationships/hyperlink" Target="http://connectededucatormonth2014.sched.org/event/212a9f4d3ad7b67423b6a366c1d31a38?iframe=no&amp;w=i:900;&amp;sidebar=yes&amp;bg=no" TargetMode="External"/><Relationship Id="rId31" Type="http://schemas.openxmlformats.org/officeDocument/2006/relationships/hyperlink" Target="http://diglearning.global2.vic.edu.au/2014/09/09/ipad-pd/" TargetMode="External"/><Relationship Id="rId44" Type="http://schemas.openxmlformats.org/officeDocument/2006/relationships/hyperlink" Target="https://creative-learners-k12.attendease.com/" TargetMode="External"/><Relationship Id="rId52" Type="http://schemas.openxmlformats.org/officeDocument/2006/relationships/hyperlink" Target="http://teachmeetmelbourne.wikispaces.com/2014+-+Nov+29+%28Scienceworks%29" TargetMode="External"/><Relationship Id="rId60" Type="http://schemas.openxmlformats.org/officeDocument/2006/relationships/hyperlink" Target="http://ssrn.com/abstract=2460703" TargetMode="External"/><Relationship Id="rId65" Type="http://schemas.openxmlformats.org/officeDocument/2006/relationships/hyperlink" Target="mailto:brown.jillian.k@edumail.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eshareshape.com.au/share/VC/virtualexcursions.aspx?EventID=7834&amp;SessionID=8214&amp;ActivityID=10900" TargetMode="External"/><Relationship Id="rId22" Type="http://schemas.openxmlformats.org/officeDocument/2006/relationships/hyperlink" Target="https://edugate.eduweb.vic.gov.au/Services/IT/ITServices/eduSTAR/virtualconf/default.aspx?Redirect=1" TargetMode="External"/><Relationship Id="rId27" Type="http://schemas.openxmlformats.org/officeDocument/2006/relationships/image" Target="cid:image014.jpg@01CFE2F7.4DD97490" TargetMode="External"/><Relationship Id="rId30" Type="http://schemas.openxmlformats.org/officeDocument/2006/relationships/hyperlink" Target="http://www.oltaustralia.net/news.asp?stateid=9&amp;schooltype=1" TargetMode="External"/><Relationship Id="rId35" Type="http://schemas.openxmlformats.org/officeDocument/2006/relationships/hyperlink" Target="http://connectededucator.vic.edu.au/" TargetMode="External"/><Relationship Id="rId43" Type="http://schemas.openxmlformats.org/officeDocument/2006/relationships/image" Target="cid:image016.png@01CFE2F7.4DD97490" TargetMode="External"/><Relationship Id="rId48" Type="http://schemas.openxmlformats.org/officeDocument/2006/relationships/hyperlink" Target="http://www.up.co/communities/australia/melbourne-au/startup-weekend/4473" TargetMode="External"/><Relationship Id="rId56" Type="http://schemas.openxmlformats.org/officeDocument/2006/relationships/image" Target="media/image8.png"/><Relationship Id="rId64" Type="http://schemas.openxmlformats.org/officeDocument/2006/relationships/hyperlink" Target="https://edugate.eduweb.vic.gov.au/newsevents/featstories/Pages/Lighting-up-Learning-with-Technology.aspx" TargetMode="External"/><Relationship Id="rId69" Type="http://schemas.openxmlformats.org/officeDocument/2006/relationships/theme" Target="theme/theme1.xml"/><Relationship Id="rId8" Type="http://schemas.openxmlformats.org/officeDocument/2006/relationships/image" Target="cid:image003.jpg@01CFE2F7.4DD97490" TargetMode="External"/><Relationship Id="rId51" Type="http://schemas.openxmlformats.org/officeDocument/2006/relationships/hyperlink" Target="mailto:werner.b@ccllen.com.au" TargetMode="External"/><Relationship Id="rId3" Type="http://schemas.microsoft.com/office/2007/relationships/stylesWithEffects" Target="stylesWithEffects.xml"/><Relationship Id="rId12" Type="http://schemas.openxmlformats.org/officeDocument/2006/relationships/hyperlink" Target="https://www.seeshareshape.com.au/share/VC/virtualexcursions.aspx?EventID=7722&amp;SessionID=8086&amp;ActivityID=10745" TargetMode="External"/><Relationship Id="rId17" Type="http://schemas.openxmlformats.org/officeDocument/2006/relationships/hyperlink" Target="mailto:tate.joanne.e@edumail.vic.gov.au" TargetMode="External"/><Relationship Id="rId25" Type="http://schemas.openxmlformats.org/officeDocument/2006/relationships/hyperlink" Target="http://diglearning.global2.vic.edu.au/prof-learning/" TargetMode="External"/><Relationship Id="rId33" Type="http://schemas.openxmlformats.org/officeDocument/2006/relationships/image" Target="cid:image004.jpg@01CFE6DA.917A3CC0" TargetMode="External"/><Relationship Id="rId38" Type="http://schemas.openxmlformats.org/officeDocument/2006/relationships/image" Target="cid:image015.jpg@01CFE2F7.4DD97490" TargetMode="External"/><Relationship Id="rId46" Type="http://schemas.openxmlformats.org/officeDocument/2006/relationships/hyperlink" Target="https://flipping-learning.attendease.com/" TargetMode="External"/><Relationship Id="rId59" Type="http://schemas.openxmlformats.org/officeDocument/2006/relationships/image" Target="media/image9.png"/><Relationship Id="rId67" Type="http://schemas.openxmlformats.org/officeDocument/2006/relationships/hyperlink" Target="http://diglearning.global2.vic.edu.au/" TargetMode="External"/><Relationship Id="rId20" Type="http://schemas.openxmlformats.org/officeDocument/2006/relationships/hyperlink" Target="http://www.education.vic.gov.au/school/teachers/support/pages/vcc.aspx?Redirect=1" TargetMode="External"/><Relationship Id="rId41" Type="http://schemas.openxmlformats.org/officeDocument/2006/relationships/hyperlink" Target="http://dltv.vic.edu.au/events/f2f404-vce-vet-%E2%80%93-let%E2%80%99s-move-it-2015" TargetMode="External"/><Relationship Id="rId54" Type="http://schemas.openxmlformats.org/officeDocument/2006/relationships/image" Target="cid:image006.png@01CFEE20.3FACD810" TargetMode="External"/><Relationship Id="rId62" Type="http://schemas.openxmlformats.org/officeDocument/2006/relationships/hyperlink" Target="http://papers.ssrn.com/sol3/papers.cfm?abstract_id=2460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Jillian K</dc:creator>
  <cp:keywords/>
  <dc:description/>
  <cp:lastModifiedBy>Brown, Jillian K</cp:lastModifiedBy>
  <cp:revision>1</cp:revision>
  <dcterms:created xsi:type="dcterms:W3CDTF">2014-11-16T23:44:00Z</dcterms:created>
  <dcterms:modified xsi:type="dcterms:W3CDTF">2014-11-16T23:45:00Z</dcterms:modified>
</cp:coreProperties>
</file>