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376"/>
        <w:gridCol w:w="6"/>
        <w:gridCol w:w="11792"/>
      </w:tblGrid>
      <w:tr w:rsidR="00965EA1" w:rsidTr="00965EA1">
        <w:tc>
          <w:tcPr>
            <w:tcW w:w="772" w:type="pct"/>
            <w:gridSpan w:val="2"/>
            <w:tcMar>
              <w:top w:w="0" w:type="dxa"/>
              <w:left w:w="108" w:type="dxa"/>
              <w:bottom w:w="0" w:type="dxa"/>
              <w:right w:w="108" w:type="dxa"/>
            </w:tcMar>
            <w:hideMark/>
          </w:tcPr>
          <w:p w:rsidR="00965EA1" w:rsidRDefault="00965EA1">
            <w:r>
              <w:fldChar w:fldCharType="begin"/>
            </w:r>
            <w:r>
              <w:instrText xml:space="preserve"> HYPERLINK "http://diglearning.global2.vic.edu.au/" \t "_blank" </w:instrText>
            </w:r>
            <w:r>
              <w:fldChar w:fldCharType="separate"/>
            </w:r>
            <w:r>
              <w:rPr>
                <w:rStyle w:val="Hyperlink"/>
                <w:rFonts w:ascii="Arial" w:hAnsi="Arial" w:cs="Arial"/>
                <w:b/>
                <w:bCs/>
                <w:sz w:val="28"/>
                <w:szCs w:val="28"/>
              </w:rPr>
              <w:t>Digital Learning News</w:t>
            </w:r>
            <w:r>
              <w:fldChar w:fldCharType="end"/>
            </w:r>
          </w:p>
          <w:p w:rsidR="00965EA1" w:rsidRDefault="00965EA1">
            <w:r>
              <w:rPr>
                <w:color w:val="000000"/>
                <w:sz w:val="20"/>
                <w:szCs w:val="20"/>
              </w:rPr>
              <w:t> </w:t>
            </w:r>
          </w:p>
          <w:p w:rsidR="00965EA1" w:rsidRDefault="00965EA1">
            <w:r>
              <w:rPr>
                <w:color w:val="1F497D"/>
                <w:sz w:val="28"/>
                <w:szCs w:val="28"/>
              </w:rPr>
              <w:t>Special Edition, 25th February, 2015</w:t>
            </w:r>
          </w:p>
        </w:tc>
        <w:tc>
          <w:tcPr>
            <w:tcW w:w="4228" w:type="pct"/>
            <w:tcMar>
              <w:top w:w="0" w:type="dxa"/>
              <w:left w:w="108" w:type="dxa"/>
              <w:bottom w:w="0" w:type="dxa"/>
              <w:right w:w="108" w:type="dxa"/>
            </w:tcMar>
            <w:hideMark/>
          </w:tcPr>
          <w:p w:rsidR="00965EA1" w:rsidRDefault="00965EA1">
            <w:r>
              <w:rPr>
                <w:noProof/>
                <w:sz w:val="20"/>
                <w:szCs w:val="20"/>
                <w:lang w:eastAsia="en-AU"/>
              </w:rPr>
              <w:drawing>
                <wp:inline distT="0" distB="0" distL="0" distR="0" wp14:anchorId="15C92483" wp14:editId="608A80F7">
                  <wp:extent cx="5372100" cy="1092200"/>
                  <wp:effectExtent l="0" t="0" r="0" b="0"/>
                  <wp:docPr id="10" name="Picture 10"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72100" cy="1092200"/>
                          </a:xfrm>
                          <a:prstGeom prst="rect">
                            <a:avLst/>
                          </a:prstGeom>
                          <a:noFill/>
                          <a:ln>
                            <a:noFill/>
                          </a:ln>
                        </pic:spPr>
                      </pic:pic>
                    </a:graphicData>
                  </a:graphic>
                </wp:inline>
              </w:drawing>
            </w:r>
          </w:p>
        </w:tc>
      </w:tr>
      <w:tr w:rsidR="00965EA1" w:rsidTr="00965EA1">
        <w:tc>
          <w:tcPr>
            <w:tcW w:w="5000" w:type="pct"/>
            <w:gridSpan w:val="3"/>
            <w:tcMar>
              <w:top w:w="0" w:type="dxa"/>
              <w:left w:w="108" w:type="dxa"/>
              <w:bottom w:w="0" w:type="dxa"/>
              <w:right w:w="108" w:type="dxa"/>
            </w:tcMar>
            <w:hideMark/>
          </w:tcPr>
          <w:p w:rsidR="00965EA1" w:rsidRDefault="00965EA1">
            <w:r>
              <w:rPr>
                <w:color w:val="1F497D"/>
              </w:rPr>
              <w:t>  </w:t>
            </w:r>
          </w:p>
        </w:tc>
      </w:tr>
      <w:tr w:rsidR="00965EA1" w:rsidTr="00965EA1">
        <w:tc>
          <w:tcPr>
            <w:tcW w:w="5000" w:type="pct"/>
            <w:gridSpan w:val="3"/>
            <w:tcMar>
              <w:top w:w="0" w:type="dxa"/>
              <w:left w:w="108" w:type="dxa"/>
              <w:bottom w:w="0" w:type="dxa"/>
              <w:right w:w="108" w:type="dxa"/>
            </w:tcMar>
            <w:hideMark/>
          </w:tcPr>
          <w:p w:rsidR="00965EA1" w:rsidRDefault="00965EA1">
            <w:pPr>
              <w:rPr>
                <w:color w:val="1F497D"/>
              </w:rPr>
            </w:pPr>
            <w:r>
              <w:rPr>
                <w:color w:val="1F497D"/>
              </w:rPr>
              <w:t xml:space="preserve">A number of exciting professional learning opportunities have emerged this </w:t>
            </w:r>
            <w:proofErr w:type="gramStart"/>
            <w:r>
              <w:rPr>
                <w:color w:val="1F497D"/>
              </w:rPr>
              <w:t>week, that</w:t>
            </w:r>
            <w:proofErr w:type="gramEnd"/>
            <w:r>
              <w:rPr>
                <w:color w:val="1F497D"/>
              </w:rPr>
              <w:t xml:space="preserve"> would be a shame to miss. The </w:t>
            </w:r>
            <w:proofErr w:type="spellStart"/>
            <w:r>
              <w:rPr>
                <w:color w:val="1F497D"/>
              </w:rPr>
              <w:t>OzeLive</w:t>
            </w:r>
            <w:proofErr w:type="spellEnd"/>
            <w:r>
              <w:rPr>
                <w:color w:val="1F497D"/>
              </w:rPr>
              <w:t xml:space="preserve"> Conference, being held across the weekend, is a great opportunity to access online professional learning, and hosts an impressive line-up of speakers. Check out the schedule on </w:t>
            </w:r>
            <w:hyperlink r:id="rId8" w:history="1">
              <w:r>
                <w:rPr>
                  <w:rStyle w:val="Hyperlink"/>
                  <w:color w:val="1F497D"/>
                  <w:u w:val="none"/>
                </w:rPr>
                <w:t>http://australianeducators.ning.com/schedule-gmt-11-1</w:t>
              </w:r>
            </w:hyperlink>
            <w:r>
              <w:rPr>
                <w:color w:val="1F497D"/>
              </w:rPr>
              <w:t>.</w:t>
            </w:r>
          </w:p>
          <w:p w:rsidR="00965EA1" w:rsidRDefault="00965EA1">
            <w:pPr>
              <w:rPr>
                <w:color w:val="1F497D"/>
              </w:rPr>
            </w:pPr>
            <w:r>
              <w:rPr>
                <w:color w:val="1F497D"/>
              </w:rPr>
              <w:t>In this Special Edition of Digital Learning News, we also highlight some other Professional Learning and Classroom opportunities occurring this week or in the near future. Check out the details below.</w:t>
            </w:r>
          </w:p>
          <w:p w:rsidR="00965EA1" w:rsidRDefault="00965EA1">
            <w:r>
              <w:rPr>
                <w:color w:val="1F497D"/>
                <w:sz w:val="16"/>
                <w:szCs w:val="16"/>
              </w:rPr>
              <w:t> </w:t>
            </w:r>
          </w:p>
        </w:tc>
      </w:tr>
      <w:tr w:rsidR="00965EA1" w:rsidTr="00965EA1">
        <w:tc>
          <w:tcPr>
            <w:tcW w:w="5000" w:type="pct"/>
            <w:gridSpan w:val="3"/>
            <w:shd w:val="clear" w:color="auto" w:fill="3366FF"/>
            <w:tcMar>
              <w:top w:w="0" w:type="dxa"/>
              <w:left w:w="108" w:type="dxa"/>
              <w:bottom w:w="0" w:type="dxa"/>
              <w:right w:w="108" w:type="dxa"/>
            </w:tcMar>
            <w:hideMark/>
          </w:tcPr>
          <w:p w:rsidR="00965EA1" w:rsidRDefault="00965EA1">
            <w:r>
              <w:rPr>
                <w:b/>
                <w:bCs/>
                <w:color w:val="FFFFFF"/>
                <w:sz w:val="28"/>
                <w:szCs w:val="28"/>
              </w:rPr>
              <w:t xml:space="preserve">Professional Learning and Classroom Opportunities- </w:t>
            </w:r>
            <w:r>
              <w:rPr>
                <w:color w:val="FFFFFF"/>
                <w:sz w:val="20"/>
                <w:szCs w:val="20"/>
              </w:rPr>
              <w:t xml:space="preserve">see our </w:t>
            </w:r>
            <w:hyperlink r:id="rId9" w:tgtFrame="_blank" w:history="1">
              <w:r>
                <w:rPr>
                  <w:rStyle w:val="Hyperlink"/>
                  <w:color w:val="FFFFFF"/>
                  <w:sz w:val="20"/>
                  <w:szCs w:val="20"/>
                </w:rPr>
                <w:t>Professional Learning Calendar</w:t>
              </w:r>
            </w:hyperlink>
            <w:r>
              <w:rPr>
                <w:color w:val="FFFFFF"/>
                <w:sz w:val="20"/>
                <w:szCs w:val="20"/>
              </w:rPr>
              <w:t xml:space="preserve"> for a full list of events</w:t>
            </w:r>
          </w:p>
          <w:p w:rsidR="00965EA1" w:rsidRDefault="00965EA1">
            <w:r>
              <w:t> </w:t>
            </w:r>
          </w:p>
        </w:tc>
      </w:tr>
      <w:tr w:rsidR="00965EA1" w:rsidTr="00965EA1">
        <w:tc>
          <w:tcPr>
            <w:tcW w:w="762" w:type="pct"/>
            <w:shd w:val="clear" w:color="auto" w:fill="D9D9D9"/>
            <w:tcMar>
              <w:top w:w="0" w:type="dxa"/>
              <w:left w:w="108" w:type="dxa"/>
              <w:bottom w:w="0" w:type="dxa"/>
              <w:right w:w="108" w:type="dxa"/>
            </w:tcMar>
            <w:vAlign w:val="center"/>
          </w:tcPr>
          <w:p w:rsidR="00965EA1" w:rsidRDefault="00965EA1">
            <w:pPr>
              <w:jc w:val="center"/>
            </w:pPr>
            <w:r>
              <w:rPr>
                <w:noProof/>
                <w:lang w:eastAsia="en-AU"/>
              </w:rPr>
              <w:drawing>
                <wp:inline distT="0" distB="0" distL="0" distR="0" wp14:anchorId="3C827998" wp14:editId="747F8B57">
                  <wp:extent cx="1371600" cy="495300"/>
                  <wp:effectExtent l="0" t="0" r="0" b="0"/>
                  <wp:docPr id="9" name="Picture 9" descr="Description: Description: Description: cid:image007.png@01D05041.4753B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cid:image007.png@01D05041.4753B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p>
          <w:p w:rsidR="00965EA1" w:rsidRDefault="00965EA1">
            <w:pPr>
              <w:jc w:val="center"/>
            </w:pPr>
          </w:p>
          <w:p w:rsidR="00965EA1" w:rsidRDefault="00965EA1">
            <w:pPr>
              <w:jc w:val="center"/>
            </w:pPr>
            <w:r>
              <w:rPr>
                <w:color w:val="1F497D"/>
              </w:rPr>
              <w:t> </w:t>
            </w:r>
          </w:p>
        </w:tc>
        <w:tc>
          <w:tcPr>
            <w:tcW w:w="4238" w:type="pct"/>
            <w:gridSpan w:val="2"/>
            <w:shd w:val="clear" w:color="auto" w:fill="D9D9D9"/>
            <w:tcMar>
              <w:top w:w="0" w:type="dxa"/>
              <w:left w:w="108" w:type="dxa"/>
              <w:bottom w:w="0" w:type="dxa"/>
              <w:right w:w="108" w:type="dxa"/>
            </w:tcMar>
            <w:hideMark/>
          </w:tcPr>
          <w:p w:rsidR="00965EA1" w:rsidRDefault="00965EA1" w:rsidP="00715CE4">
            <w:pPr>
              <w:pStyle w:val="ListParagraph"/>
              <w:numPr>
                <w:ilvl w:val="0"/>
                <w:numId w:val="1"/>
              </w:numPr>
              <w:rPr>
                <w:color w:val="1F497D"/>
                <w:lang w:eastAsia="en-US"/>
              </w:rPr>
            </w:pPr>
            <w:r>
              <w:rPr>
                <w:rFonts w:ascii="Times New Roman" w:hAnsi="Times New Roman"/>
                <w:color w:val="1F497D"/>
                <w:sz w:val="14"/>
                <w:szCs w:val="14"/>
                <w:lang w:eastAsia="en-US"/>
              </w:rPr>
              <w:t> </w:t>
            </w:r>
            <w:hyperlink r:id="rId12" w:history="1">
              <w:r>
                <w:rPr>
                  <w:rStyle w:val="Hyperlink"/>
                  <w:b/>
                  <w:bCs/>
                  <w:lang w:eastAsia="en-US"/>
                </w:rPr>
                <w:t>OzeLive 2015 Online Conference</w:t>
              </w:r>
            </w:hyperlink>
            <w:r>
              <w:rPr>
                <w:color w:val="1F497D"/>
                <w:lang w:eastAsia="en-US"/>
              </w:rPr>
              <w:t xml:space="preserve"> - has an impressive group of keynote speakers including Dr Anne Grant, an expert on gifted education, Georgina </w:t>
            </w:r>
            <w:proofErr w:type="spellStart"/>
            <w:r>
              <w:rPr>
                <w:color w:val="1F497D"/>
                <w:lang w:eastAsia="en-US"/>
              </w:rPr>
              <w:t>Pazzi</w:t>
            </w:r>
            <w:proofErr w:type="spellEnd"/>
            <w:r>
              <w:rPr>
                <w:color w:val="1F497D"/>
                <w:lang w:eastAsia="en-US"/>
              </w:rPr>
              <w:t xml:space="preserve">, and </w:t>
            </w:r>
            <w:proofErr w:type="spellStart"/>
            <w:r>
              <w:rPr>
                <w:color w:val="1F497D"/>
                <w:lang w:eastAsia="en-US"/>
              </w:rPr>
              <w:t>Sophy</w:t>
            </w:r>
            <w:proofErr w:type="spellEnd"/>
            <w:r>
              <w:rPr>
                <w:color w:val="1F497D"/>
                <w:lang w:eastAsia="en-US"/>
              </w:rPr>
              <w:t xml:space="preserve"> Murphy on SOLO taxonomy. </w:t>
            </w:r>
            <w:hyperlink r:id="rId13" w:history="1">
              <w:r>
                <w:rPr>
                  <w:rStyle w:val="Hyperlink"/>
                  <w:color w:val="1F497D"/>
                  <w:u w:val="none"/>
                  <w:lang w:eastAsia="en-US"/>
                </w:rPr>
                <w:t>http://australianeducators.ning.com/schedule-gmt-11-1</w:t>
              </w:r>
            </w:hyperlink>
          </w:p>
          <w:p w:rsidR="00965EA1" w:rsidRDefault="00965EA1" w:rsidP="00715CE4">
            <w:pPr>
              <w:pStyle w:val="ListParagraph"/>
              <w:numPr>
                <w:ilvl w:val="0"/>
                <w:numId w:val="1"/>
              </w:numPr>
              <w:rPr>
                <w:color w:val="1F497D"/>
                <w:lang w:eastAsia="en-US"/>
              </w:rPr>
            </w:pPr>
            <w:r>
              <w:rPr>
                <w:color w:val="1F497D"/>
                <w:lang w:eastAsia="en-US"/>
              </w:rPr>
              <w:t>The conference is held from Friday, 27</w:t>
            </w:r>
            <w:r>
              <w:rPr>
                <w:color w:val="1F497D"/>
                <w:vertAlign w:val="superscript"/>
                <w:lang w:eastAsia="en-US"/>
              </w:rPr>
              <w:t>th</w:t>
            </w:r>
            <w:r>
              <w:rPr>
                <w:color w:val="1F497D"/>
                <w:lang w:eastAsia="en-US"/>
              </w:rPr>
              <w:t xml:space="preserve"> Feb 2015 – Sunday, 1</w:t>
            </w:r>
            <w:r>
              <w:rPr>
                <w:color w:val="1F497D"/>
                <w:vertAlign w:val="superscript"/>
                <w:lang w:eastAsia="en-US"/>
              </w:rPr>
              <w:t>st</w:t>
            </w:r>
            <w:r>
              <w:rPr>
                <w:color w:val="1F497D"/>
                <w:lang w:eastAsia="en-US"/>
              </w:rPr>
              <w:t xml:space="preserve"> March, 2015.</w:t>
            </w:r>
          </w:p>
          <w:p w:rsidR="00965EA1" w:rsidRDefault="00965EA1" w:rsidP="00715CE4">
            <w:pPr>
              <w:pStyle w:val="ListParagraph"/>
              <w:numPr>
                <w:ilvl w:val="0"/>
                <w:numId w:val="1"/>
              </w:numPr>
              <w:rPr>
                <w:color w:val="1F497D"/>
                <w:lang w:eastAsia="en-US"/>
              </w:rPr>
            </w:pPr>
            <w:r>
              <w:rPr>
                <w:color w:val="1F497D"/>
                <w:lang w:eastAsia="en-US"/>
              </w:rPr>
              <w:t>This is a FREE event facilitated through Blackboard Collaborate that combines video, audio, chat, presentation.</w:t>
            </w:r>
          </w:p>
        </w:tc>
      </w:tr>
      <w:tr w:rsidR="00965EA1" w:rsidTr="00965EA1">
        <w:tc>
          <w:tcPr>
            <w:tcW w:w="762" w:type="pct"/>
            <w:shd w:val="clear" w:color="auto" w:fill="D9D9D9"/>
            <w:tcMar>
              <w:top w:w="0" w:type="dxa"/>
              <w:left w:w="108" w:type="dxa"/>
              <w:bottom w:w="0" w:type="dxa"/>
              <w:right w:w="108" w:type="dxa"/>
            </w:tcMar>
            <w:vAlign w:val="center"/>
            <w:hideMark/>
          </w:tcPr>
          <w:p w:rsidR="00965EA1" w:rsidRDefault="00965EA1">
            <w:pPr>
              <w:jc w:val="center"/>
              <w:rPr>
                <w:lang w:eastAsia="en-AU"/>
              </w:rPr>
            </w:pPr>
            <w:r>
              <w:rPr>
                <w:noProof/>
                <w:lang w:eastAsia="en-AU"/>
              </w:rPr>
              <w:drawing>
                <wp:inline distT="0" distB="0" distL="0" distR="0" wp14:anchorId="5C11819D" wp14:editId="26A64B5D">
                  <wp:extent cx="1168400" cy="304800"/>
                  <wp:effectExtent l="0" t="0" r="0" b="0"/>
                  <wp:docPr id="8" name="Picture 8" descr="Description: Description: cid:image005.png@01D0511A.04B2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5.png@01D0511A.04B255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8400" cy="304800"/>
                          </a:xfrm>
                          <a:prstGeom prst="rect">
                            <a:avLst/>
                          </a:prstGeom>
                          <a:noFill/>
                          <a:ln>
                            <a:noFill/>
                          </a:ln>
                        </pic:spPr>
                      </pic:pic>
                    </a:graphicData>
                  </a:graphic>
                </wp:inline>
              </w:drawing>
            </w:r>
          </w:p>
          <w:p w:rsidR="00965EA1" w:rsidRDefault="00965EA1">
            <w:pPr>
              <w:jc w:val="center"/>
              <w:rPr>
                <w:lang w:eastAsia="en-AU"/>
              </w:rPr>
            </w:pPr>
            <w:r>
              <w:rPr>
                <w:noProof/>
                <w:color w:val="000000"/>
                <w:sz w:val="21"/>
                <w:szCs w:val="21"/>
                <w:lang w:eastAsia="en-AU"/>
              </w:rPr>
              <w:drawing>
                <wp:inline distT="0" distB="0" distL="0" distR="0" wp14:anchorId="54A5F4C4" wp14:editId="7DABF611">
                  <wp:extent cx="1143000" cy="254000"/>
                  <wp:effectExtent l="0" t="0" r="0" b="0"/>
                  <wp:docPr id="7"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a:ln>
                            <a:noFill/>
                          </a:ln>
                        </pic:spPr>
                      </pic:pic>
                    </a:graphicData>
                  </a:graphic>
                </wp:inline>
              </w:drawing>
            </w:r>
          </w:p>
        </w:tc>
        <w:tc>
          <w:tcPr>
            <w:tcW w:w="4238" w:type="pct"/>
            <w:gridSpan w:val="2"/>
            <w:shd w:val="clear" w:color="auto" w:fill="D9D9D9"/>
            <w:tcMar>
              <w:top w:w="0" w:type="dxa"/>
              <w:left w:w="108" w:type="dxa"/>
              <w:bottom w:w="0" w:type="dxa"/>
              <w:right w:w="108" w:type="dxa"/>
            </w:tcMar>
          </w:tcPr>
          <w:p w:rsidR="00965EA1" w:rsidRDefault="00965EA1" w:rsidP="00715CE4">
            <w:pPr>
              <w:pStyle w:val="ListParagraph"/>
              <w:numPr>
                <w:ilvl w:val="0"/>
                <w:numId w:val="1"/>
              </w:numPr>
              <w:rPr>
                <w:color w:val="1F497D"/>
                <w:lang w:eastAsia="en-US"/>
              </w:rPr>
            </w:pPr>
            <w:hyperlink r:id="rId18" w:history="1">
              <w:r>
                <w:rPr>
                  <w:rStyle w:val="Hyperlink"/>
                  <w:b/>
                  <w:bCs/>
                  <w:lang w:eastAsia="en-US"/>
                </w:rPr>
                <w:t>Peer Coaching Training for Digital Learning</w:t>
              </w:r>
            </w:hyperlink>
            <w:r>
              <w:rPr>
                <w:color w:val="1F497D"/>
                <w:lang w:eastAsia="en-US"/>
              </w:rPr>
              <w:t>, Ballarat</w:t>
            </w:r>
          </w:p>
          <w:p w:rsidR="00965EA1" w:rsidRDefault="00965EA1" w:rsidP="00715CE4">
            <w:pPr>
              <w:pStyle w:val="ListParagraph"/>
              <w:numPr>
                <w:ilvl w:val="0"/>
                <w:numId w:val="1"/>
              </w:numPr>
              <w:rPr>
                <w:color w:val="1F497D"/>
                <w:lang w:eastAsia="en-US"/>
              </w:rPr>
            </w:pPr>
            <w:r>
              <w:rPr>
                <w:color w:val="1F497D"/>
                <w:lang w:eastAsia="en-US"/>
              </w:rPr>
              <w:t>10th &amp; 11th March, 8:45am for a 9:00am start</w:t>
            </w:r>
          </w:p>
          <w:p w:rsidR="00965EA1" w:rsidRDefault="00965EA1" w:rsidP="00715CE4">
            <w:pPr>
              <w:pStyle w:val="ListParagraph"/>
              <w:numPr>
                <w:ilvl w:val="0"/>
                <w:numId w:val="1"/>
              </w:numPr>
              <w:rPr>
                <w:color w:val="1F497D"/>
                <w:lang w:eastAsia="en-US"/>
              </w:rPr>
            </w:pPr>
            <w:r>
              <w:rPr>
                <w:color w:val="1F497D"/>
                <w:lang w:eastAsia="en-US"/>
              </w:rPr>
              <w:t>The Peer Coaching program, sponsored by Microsoft, assists teacher leaders to develop the coaching skills essential to help their colleagues learn the necessary instructional strategies, understand pedagogical approaches and develop technology skills that are needed to integrate technology into active, engaging learning activities. </w:t>
            </w:r>
          </w:p>
          <w:p w:rsidR="00965EA1" w:rsidRDefault="00965EA1" w:rsidP="00715CE4">
            <w:pPr>
              <w:pStyle w:val="ListParagraph"/>
              <w:numPr>
                <w:ilvl w:val="0"/>
                <w:numId w:val="1"/>
              </w:numPr>
              <w:rPr>
                <w:color w:val="1F497D"/>
                <w:lang w:eastAsia="en-US"/>
              </w:rPr>
            </w:pPr>
            <w:r>
              <w:rPr>
                <w:color w:val="1F497D"/>
                <w:lang w:eastAsia="en-US"/>
              </w:rPr>
              <w:t xml:space="preserve">To confirm your position please register: </w:t>
            </w:r>
            <w:hyperlink r:id="rId19" w:history="1">
              <w:r>
                <w:rPr>
                  <w:rStyle w:val="Hyperlink"/>
                  <w:color w:val="1F497D"/>
                  <w:u w:val="none"/>
                  <w:lang w:eastAsia="en-US"/>
                </w:rPr>
                <w:t>https://www.eventbrite.com.au/e/peer-coaching-ballarat-tickets-15562092638</w:t>
              </w:r>
            </w:hyperlink>
          </w:p>
          <w:p w:rsidR="00965EA1" w:rsidRDefault="00965EA1">
            <w:pPr>
              <w:pStyle w:val="ListParagraph"/>
              <w:ind w:left="360"/>
              <w:rPr>
                <w:color w:val="1F497D"/>
                <w:lang w:eastAsia="en-US"/>
              </w:rPr>
            </w:pPr>
          </w:p>
        </w:tc>
        <w:bookmarkStart w:id="0" w:name="_GoBack"/>
        <w:bookmarkEnd w:id="0"/>
      </w:tr>
      <w:tr w:rsidR="00965EA1" w:rsidTr="00965EA1">
        <w:tc>
          <w:tcPr>
            <w:tcW w:w="762" w:type="pct"/>
            <w:shd w:val="clear" w:color="auto" w:fill="F2F2F2"/>
            <w:tcMar>
              <w:top w:w="0" w:type="dxa"/>
              <w:left w:w="108" w:type="dxa"/>
              <w:bottom w:w="0" w:type="dxa"/>
              <w:right w:w="108" w:type="dxa"/>
            </w:tcMar>
            <w:vAlign w:val="center"/>
          </w:tcPr>
          <w:p w:rsidR="00965EA1" w:rsidRDefault="00965EA1">
            <w:pPr>
              <w:jc w:val="center"/>
            </w:pPr>
            <w:r>
              <w:rPr>
                <w:noProof/>
                <w:lang w:eastAsia="en-AU"/>
              </w:rPr>
              <w:drawing>
                <wp:inline distT="0" distB="0" distL="0" distR="0" wp14:anchorId="490BD579" wp14:editId="660960FD">
                  <wp:extent cx="1181100" cy="749300"/>
                  <wp:effectExtent l="0" t="0" r="0" b="0"/>
                  <wp:docPr id="6"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9.png@01D036F0.EECBD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Description: Description: Description: Description: Description: Description: Description: Description: Description: Description: Description: Description: Description: Description: Description: Description: cid:image009.png@01D036F0.EECBD0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81100" cy="749300"/>
                          </a:xfrm>
                          <a:prstGeom prst="rect">
                            <a:avLst/>
                          </a:prstGeom>
                          <a:noFill/>
                          <a:ln>
                            <a:noFill/>
                          </a:ln>
                        </pic:spPr>
                      </pic:pic>
                    </a:graphicData>
                  </a:graphic>
                </wp:inline>
              </w:drawing>
            </w:r>
          </w:p>
          <w:p w:rsidR="00965EA1" w:rsidRDefault="00965EA1">
            <w:pPr>
              <w:jc w:val="center"/>
            </w:pPr>
            <w:r>
              <w:rPr>
                <w:noProof/>
                <w:color w:val="000000"/>
                <w:sz w:val="21"/>
                <w:szCs w:val="21"/>
                <w:lang w:eastAsia="en-AU"/>
              </w:rPr>
              <w:lastRenderedPageBreak/>
              <w:drawing>
                <wp:inline distT="0" distB="0" distL="0" distR="0" wp14:anchorId="10DAC88B" wp14:editId="344C2EED">
                  <wp:extent cx="1143000" cy="254000"/>
                  <wp:effectExtent l="0" t="0" r="0" b="0"/>
                  <wp:docPr id="5" name="Picture 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a:ln>
                            <a:noFill/>
                          </a:ln>
                        </pic:spPr>
                      </pic:pic>
                    </a:graphicData>
                  </a:graphic>
                </wp:inline>
              </w:drawing>
            </w:r>
          </w:p>
          <w:p w:rsidR="00965EA1" w:rsidRDefault="00965EA1">
            <w:pPr>
              <w:jc w:val="center"/>
            </w:pPr>
          </w:p>
        </w:tc>
        <w:tc>
          <w:tcPr>
            <w:tcW w:w="4238" w:type="pct"/>
            <w:gridSpan w:val="2"/>
            <w:shd w:val="clear" w:color="auto" w:fill="F2F2F2"/>
            <w:tcMar>
              <w:top w:w="0" w:type="dxa"/>
              <w:left w:w="108" w:type="dxa"/>
              <w:bottom w:w="0" w:type="dxa"/>
              <w:right w:w="108" w:type="dxa"/>
            </w:tcMar>
          </w:tcPr>
          <w:p w:rsidR="00965EA1" w:rsidRDefault="00965EA1" w:rsidP="00715CE4">
            <w:pPr>
              <w:pStyle w:val="ListParagraph"/>
              <w:numPr>
                <w:ilvl w:val="0"/>
                <w:numId w:val="1"/>
              </w:numPr>
              <w:rPr>
                <w:color w:val="1F497D"/>
                <w:lang w:eastAsia="en-US"/>
              </w:rPr>
            </w:pPr>
            <w:hyperlink r:id="rId22" w:history="1">
              <w:r>
                <w:rPr>
                  <w:rStyle w:val="Hyperlink"/>
                  <w:b/>
                  <w:bCs/>
                  <w:lang w:eastAsia="en-US"/>
                </w:rPr>
                <w:t>Early Years Assessment Practice in Multidisciplinary Networks :</w:t>
              </w:r>
            </w:hyperlink>
            <w:r>
              <w:rPr>
                <w:b/>
                <w:bCs/>
                <w:lang w:eastAsia="en-US"/>
              </w:rPr>
              <w:t xml:space="preserve"> </w:t>
            </w:r>
            <w:r>
              <w:rPr>
                <w:color w:val="1F497D"/>
                <w:lang w:eastAsia="en-US"/>
              </w:rPr>
              <w:t xml:space="preserve">Wednesday 11 March 2015, 5:30pm – 7:30pm at </w:t>
            </w:r>
            <w:proofErr w:type="spellStart"/>
            <w:r>
              <w:rPr>
                <w:color w:val="1F497D"/>
                <w:lang w:eastAsia="en-US"/>
              </w:rPr>
              <w:t>Bastow</w:t>
            </w:r>
            <w:proofErr w:type="spellEnd"/>
            <w:r>
              <w:rPr>
                <w:color w:val="1F497D"/>
                <w:lang w:eastAsia="en-US"/>
              </w:rPr>
              <w:t xml:space="preserve"> Institute of Educational Leadership and Regional Video Conferencing Venues</w:t>
            </w:r>
          </w:p>
          <w:p w:rsidR="00965EA1" w:rsidRDefault="00965EA1" w:rsidP="00715CE4">
            <w:pPr>
              <w:pStyle w:val="ListParagraph"/>
              <w:numPr>
                <w:ilvl w:val="0"/>
                <w:numId w:val="1"/>
              </w:numPr>
              <w:rPr>
                <w:color w:val="1F497D"/>
                <w:lang w:eastAsia="en-US"/>
              </w:rPr>
            </w:pPr>
            <w:r>
              <w:rPr>
                <w:color w:val="1F497D"/>
                <w:lang w:eastAsia="en-US"/>
              </w:rPr>
              <w:t xml:space="preserve">To attend the seminar at </w:t>
            </w:r>
            <w:proofErr w:type="spellStart"/>
            <w:r>
              <w:rPr>
                <w:color w:val="1F497D"/>
                <w:lang w:eastAsia="en-US"/>
              </w:rPr>
              <w:t>Bastow</w:t>
            </w:r>
            <w:proofErr w:type="spellEnd"/>
            <w:r>
              <w:rPr>
                <w:color w:val="1F497D"/>
                <w:lang w:eastAsia="en-US"/>
              </w:rPr>
              <w:t xml:space="preserve">, register at </w:t>
            </w:r>
            <w:hyperlink r:id="rId23" w:history="1">
              <w:r>
                <w:rPr>
                  <w:rStyle w:val="Hyperlink"/>
                  <w:lang w:eastAsia="en-US"/>
                </w:rPr>
                <w:t>https://register.eventarc.com/29016/early-yearsassessment-practice-in-multidisciplinary-networks</w:t>
              </w:r>
            </w:hyperlink>
          </w:p>
          <w:p w:rsidR="00965EA1" w:rsidRDefault="00965EA1" w:rsidP="00715CE4">
            <w:pPr>
              <w:pStyle w:val="ListParagraph"/>
              <w:numPr>
                <w:ilvl w:val="0"/>
                <w:numId w:val="1"/>
              </w:numPr>
              <w:rPr>
                <w:color w:val="1F497D"/>
                <w:lang w:eastAsia="en-US"/>
              </w:rPr>
            </w:pPr>
            <w:r>
              <w:rPr>
                <w:color w:val="1F497D"/>
                <w:lang w:eastAsia="en-US"/>
              </w:rPr>
              <w:t xml:space="preserve">To attend the seminar via video conference, register at </w:t>
            </w:r>
            <w:hyperlink r:id="rId24" w:history="1">
              <w:r>
                <w:rPr>
                  <w:rStyle w:val="Hyperlink"/>
                  <w:lang w:eastAsia="en-US"/>
                </w:rPr>
                <w:t>http://www.vcaa.vic.edu.au/Pages/earlyyears/profdev/onlineregistration.aspx</w:t>
              </w:r>
            </w:hyperlink>
          </w:p>
          <w:p w:rsidR="00965EA1" w:rsidRDefault="00965EA1">
            <w:pPr>
              <w:rPr>
                <w:color w:val="1F497D"/>
              </w:rPr>
            </w:pPr>
          </w:p>
        </w:tc>
      </w:tr>
      <w:tr w:rsidR="00965EA1" w:rsidTr="00965EA1">
        <w:tc>
          <w:tcPr>
            <w:tcW w:w="762" w:type="pct"/>
            <w:shd w:val="clear" w:color="auto" w:fill="D9D9D9"/>
            <w:tcMar>
              <w:top w:w="0" w:type="dxa"/>
              <w:left w:w="108" w:type="dxa"/>
              <w:bottom w:w="0" w:type="dxa"/>
              <w:right w:w="108" w:type="dxa"/>
            </w:tcMar>
            <w:vAlign w:val="center"/>
            <w:hideMark/>
          </w:tcPr>
          <w:p w:rsidR="00965EA1" w:rsidRDefault="00965EA1">
            <w:pPr>
              <w:jc w:val="center"/>
              <w:rPr>
                <w:b/>
                <w:bCs/>
                <w:i/>
                <w:iCs/>
                <w:color w:val="1F497D"/>
                <w:sz w:val="20"/>
                <w:szCs w:val="20"/>
                <w:lang w:eastAsia="en-AU"/>
              </w:rPr>
            </w:pPr>
            <w:r>
              <w:rPr>
                <w:noProof/>
                <w:lang w:eastAsia="en-AU"/>
              </w:rPr>
              <w:lastRenderedPageBreak/>
              <w:drawing>
                <wp:inline distT="0" distB="0" distL="0" distR="0" wp14:anchorId="69B0F6F0" wp14:editId="44FE41E9">
                  <wp:extent cx="1143000" cy="190500"/>
                  <wp:effectExtent l="0" t="0" r="0" b="0"/>
                  <wp:docPr id="4" name="Picture 4" descr="Description: Description: Description: cid:image012.png@01D05038.4ADDB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cid:image012.png@01D05038.4ADDB9A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Pr>
                <w:noProof/>
                <w:color w:val="000000"/>
                <w:sz w:val="21"/>
                <w:szCs w:val="21"/>
                <w:lang w:eastAsia="en-AU"/>
              </w:rPr>
              <w:drawing>
                <wp:inline distT="0" distB="0" distL="0" distR="0" wp14:anchorId="6933509F" wp14:editId="70A8E0D0">
                  <wp:extent cx="1143000" cy="254000"/>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497B18D9-471A-41D7-8F62-AFF88701C40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43000" cy="254000"/>
                          </a:xfrm>
                          <a:prstGeom prst="rect">
                            <a:avLst/>
                          </a:prstGeom>
                          <a:noFill/>
                          <a:ln>
                            <a:noFill/>
                          </a:ln>
                        </pic:spPr>
                      </pic:pic>
                    </a:graphicData>
                  </a:graphic>
                </wp:inline>
              </w:drawing>
            </w:r>
          </w:p>
        </w:tc>
        <w:tc>
          <w:tcPr>
            <w:tcW w:w="4238" w:type="pct"/>
            <w:gridSpan w:val="2"/>
            <w:shd w:val="clear" w:color="auto" w:fill="D9D9D9"/>
            <w:tcMar>
              <w:top w:w="0" w:type="dxa"/>
              <w:left w:w="108" w:type="dxa"/>
              <w:bottom w:w="0" w:type="dxa"/>
              <w:right w:w="108" w:type="dxa"/>
            </w:tcMar>
          </w:tcPr>
          <w:p w:rsidR="00965EA1" w:rsidRDefault="00965EA1" w:rsidP="00715CE4">
            <w:pPr>
              <w:pStyle w:val="ListParagraph"/>
              <w:numPr>
                <w:ilvl w:val="0"/>
                <w:numId w:val="2"/>
              </w:numPr>
              <w:rPr>
                <w:rStyle w:val="Strong"/>
                <w:b w:val="0"/>
                <w:bCs w:val="0"/>
                <w:color w:val="1F497D"/>
                <w:lang w:eastAsia="en-US"/>
              </w:rPr>
            </w:pPr>
            <w:hyperlink r:id="rId27" w:history="1">
              <w:r>
                <w:rPr>
                  <w:rStyle w:val="Hyperlink"/>
                  <w:b/>
                  <w:bCs/>
                  <w:lang w:eastAsia="en-US"/>
                </w:rPr>
                <w:t>Victorian Interschool Debating Leadership Program</w:t>
              </w:r>
            </w:hyperlink>
          </w:p>
          <w:p w:rsidR="00965EA1" w:rsidRDefault="00965EA1" w:rsidP="00715CE4">
            <w:pPr>
              <w:pStyle w:val="ListParagraph"/>
              <w:numPr>
                <w:ilvl w:val="0"/>
                <w:numId w:val="2"/>
              </w:numPr>
            </w:pPr>
            <w:r>
              <w:rPr>
                <w:color w:val="1F497D"/>
                <w:lang w:eastAsia="en-US"/>
              </w:rPr>
              <w:t xml:space="preserve">Each week in Term 1, there are 5 schools debating a variety of topics over the DET </w:t>
            </w:r>
            <w:proofErr w:type="spellStart"/>
            <w:r>
              <w:rPr>
                <w:color w:val="1F497D"/>
                <w:lang w:eastAsia="en-US"/>
              </w:rPr>
              <w:t>Polycom</w:t>
            </w:r>
            <w:proofErr w:type="spellEnd"/>
            <w:r>
              <w:rPr>
                <w:color w:val="1F497D"/>
                <w:lang w:eastAsia="en-US"/>
              </w:rPr>
              <w:t xml:space="preserve"> Videoconferencing </w:t>
            </w:r>
            <w:proofErr w:type="gramStart"/>
            <w:r>
              <w:rPr>
                <w:color w:val="1F497D"/>
                <w:lang w:eastAsia="en-US"/>
              </w:rPr>
              <w:t>Network.</w:t>
            </w:r>
            <w:proofErr w:type="gramEnd"/>
          </w:p>
          <w:p w:rsidR="00965EA1" w:rsidRDefault="00965EA1" w:rsidP="00715CE4">
            <w:pPr>
              <w:pStyle w:val="ListParagraph"/>
              <w:numPr>
                <w:ilvl w:val="0"/>
                <w:numId w:val="2"/>
              </w:numPr>
              <w:rPr>
                <w:color w:val="1F497D"/>
                <w:lang w:eastAsia="en-US"/>
              </w:rPr>
            </w:pPr>
            <w:r>
              <w:rPr>
                <w:color w:val="1F497D"/>
                <w:lang w:eastAsia="en-US"/>
              </w:rPr>
              <w:t xml:space="preserve">For a full schedule of events and information on how to get involved, see </w:t>
            </w:r>
            <w:hyperlink r:id="rId28" w:history="1">
              <w:r>
                <w:rPr>
                  <w:rStyle w:val="Hyperlink"/>
                  <w:lang w:eastAsia="en-US"/>
                </w:rPr>
                <w:t>http://debating.global2.vic.edu.au/</w:t>
              </w:r>
            </w:hyperlink>
          </w:p>
          <w:p w:rsidR="00965EA1" w:rsidRDefault="00965EA1">
            <w:pPr>
              <w:ind w:left="360" w:hanging="360"/>
            </w:pPr>
          </w:p>
        </w:tc>
      </w:tr>
      <w:tr w:rsidR="00965EA1" w:rsidTr="00965EA1">
        <w:tc>
          <w:tcPr>
            <w:tcW w:w="5000" w:type="pct"/>
            <w:gridSpan w:val="3"/>
            <w:shd w:val="clear" w:color="auto" w:fill="0066FF"/>
            <w:tcMar>
              <w:top w:w="0" w:type="dxa"/>
              <w:left w:w="108" w:type="dxa"/>
              <w:bottom w:w="0" w:type="dxa"/>
              <w:right w:w="108" w:type="dxa"/>
            </w:tcMar>
            <w:hideMark/>
          </w:tcPr>
          <w:p w:rsidR="00965EA1" w:rsidRDefault="00965EA1">
            <w:r>
              <w:rPr>
                <w:b/>
                <w:bCs/>
                <w:color w:val="FFFFFF"/>
                <w:sz w:val="28"/>
                <w:szCs w:val="28"/>
              </w:rPr>
              <w:t>Resources</w:t>
            </w:r>
          </w:p>
        </w:tc>
      </w:tr>
      <w:tr w:rsidR="00965EA1" w:rsidTr="00965EA1">
        <w:tc>
          <w:tcPr>
            <w:tcW w:w="762" w:type="pct"/>
            <w:shd w:val="clear" w:color="auto" w:fill="D9D9D9"/>
            <w:tcMar>
              <w:top w:w="0" w:type="dxa"/>
              <w:left w:w="108" w:type="dxa"/>
              <w:bottom w:w="0" w:type="dxa"/>
              <w:right w:w="108" w:type="dxa"/>
            </w:tcMar>
            <w:vAlign w:val="center"/>
            <w:hideMark/>
          </w:tcPr>
          <w:p w:rsidR="00965EA1" w:rsidRDefault="00965EA1">
            <w:pPr>
              <w:jc w:val="center"/>
            </w:pPr>
            <w:r>
              <w:rPr>
                <w:noProof/>
                <w:lang w:eastAsia="en-AU"/>
              </w:rPr>
              <w:drawing>
                <wp:inline distT="0" distB="0" distL="0" distR="0" wp14:anchorId="19C591D6" wp14:editId="4B788566">
                  <wp:extent cx="952500" cy="749300"/>
                  <wp:effectExtent l="0" t="0" r="0" b="0"/>
                  <wp:docPr id="2" name="Picture 2" descr="Description: Description: Description: cid:image006.png@01D05040.08F57F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6.png@01D05040.08F57F2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tc>
        <w:tc>
          <w:tcPr>
            <w:tcW w:w="4238" w:type="pct"/>
            <w:gridSpan w:val="2"/>
            <w:shd w:val="clear" w:color="auto" w:fill="D9D9D9"/>
            <w:tcMar>
              <w:top w:w="0" w:type="dxa"/>
              <w:left w:w="108" w:type="dxa"/>
              <w:bottom w:w="0" w:type="dxa"/>
              <w:right w:w="108" w:type="dxa"/>
            </w:tcMar>
            <w:hideMark/>
          </w:tcPr>
          <w:p w:rsidR="00965EA1" w:rsidRDefault="00965EA1" w:rsidP="00715CE4">
            <w:pPr>
              <w:pStyle w:val="ListParagraph"/>
              <w:numPr>
                <w:ilvl w:val="0"/>
                <w:numId w:val="3"/>
              </w:numPr>
              <w:spacing w:after="240"/>
              <w:rPr>
                <w:color w:val="1F497D"/>
              </w:rPr>
            </w:pPr>
            <w:hyperlink r:id="rId32" w:history="1">
              <w:r>
                <w:rPr>
                  <w:rStyle w:val="Hyperlink"/>
                  <w:b/>
                  <w:bCs/>
                </w:rPr>
                <w:t>Horizon Report, 2015</w:t>
              </w:r>
            </w:hyperlink>
            <w:r>
              <w:t xml:space="preserve"> - </w:t>
            </w:r>
            <w:r>
              <w:rPr>
                <w:color w:val="1F497D"/>
              </w:rPr>
              <w:t xml:space="preserve">What is on the five-year horizon for higher education institutions? Which trends and technologies will drive educational change? What are the challenges that we consider as solvable or difficult to overcome, and how can we strategize effective solutions? </w:t>
            </w:r>
            <w:hyperlink r:id="rId33" w:history="1">
              <w:r>
                <w:rPr>
                  <w:rStyle w:val="Hyperlink"/>
                  <w:i/>
                  <w:iCs/>
                </w:rPr>
                <w:t>Download this much awaited report</w:t>
              </w:r>
            </w:hyperlink>
            <w:r>
              <w:rPr>
                <w:color w:val="1F497D"/>
              </w:rPr>
              <w:t>.</w:t>
            </w:r>
          </w:p>
        </w:tc>
      </w:tr>
      <w:tr w:rsidR="00965EA1" w:rsidTr="00965EA1">
        <w:tc>
          <w:tcPr>
            <w:tcW w:w="762" w:type="pct"/>
            <w:vAlign w:val="center"/>
            <w:hideMark/>
          </w:tcPr>
          <w:p w:rsidR="00965EA1" w:rsidRDefault="00965EA1">
            <w:pPr>
              <w:rPr>
                <w:rFonts w:ascii="Times New Roman" w:eastAsia="Times New Roman" w:hAnsi="Times New Roman"/>
                <w:sz w:val="20"/>
                <w:szCs w:val="20"/>
                <w:lang w:eastAsia="en-AU"/>
              </w:rPr>
            </w:pPr>
          </w:p>
        </w:tc>
        <w:tc>
          <w:tcPr>
            <w:tcW w:w="10" w:type="pct"/>
            <w:vAlign w:val="center"/>
            <w:hideMark/>
          </w:tcPr>
          <w:p w:rsidR="00965EA1" w:rsidRDefault="00965EA1">
            <w:pPr>
              <w:rPr>
                <w:rFonts w:ascii="Times New Roman" w:eastAsia="Times New Roman" w:hAnsi="Times New Roman"/>
                <w:sz w:val="20"/>
                <w:szCs w:val="20"/>
                <w:lang w:eastAsia="en-AU"/>
              </w:rPr>
            </w:pPr>
          </w:p>
        </w:tc>
        <w:tc>
          <w:tcPr>
            <w:tcW w:w="4228" w:type="pct"/>
            <w:vAlign w:val="center"/>
            <w:hideMark/>
          </w:tcPr>
          <w:p w:rsidR="00965EA1" w:rsidRDefault="00965EA1">
            <w:pPr>
              <w:rPr>
                <w:rFonts w:ascii="Times New Roman" w:eastAsia="Times New Roman" w:hAnsi="Times New Roman"/>
                <w:sz w:val="20"/>
                <w:szCs w:val="20"/>
                <w:lang w:eastAsia="en-AU"/>
              </w:rPr>
            </w:pPr>
          </w:p>
        </w:tc>
      </w:tr>
    </w:tbl>
    <w:p w:rsidR="00965EA1" w:rsidRDefault="00965EA1" w:rsidP="00965EA1"/>
    <w:p w:rsidR="00965EA1" w:rsidRDefault="00965EA1" w:rsidP="00965EA1"/>
    <w:p w:rsidR="00965EA1" w:rsidRDefault="00965EA1" w:rsidP="00965EA1">
      <w:pPr>
        <w:rPr>
          <w:rFonts w:ascii="Arial" w:hAnsi="Arial" w:cs="Arial"/>
          <w:color w:val="000000"/>
          <w:sz w:val="20"/>
          <w:szCs w:val="20"/>
          <w:lang w:eastAsia="en-AU"/>
        </w:rPr>
      </w:pPr>
      <w:r>
        <w:rPr>
          <w:rFonts w:ascii="Arial" w:hAnsi="Arial" w:cs="Arial"/>
          <w:b/>
          <w:bCs/>
          <w:color w:val="1F497D"/>
          <w:sz w:val="20"/>
          <w:szCs w:val="20"/>
          <w:lang w:eastAsia="en-AU"/>
        </w:rPr>
        <w:t>Jillian Brown </w:t>
      </w:r>
      <w:r>
        <w:rPr>
          <w:rFonts w:ascii="Arial" w:hAnsi="Arial" w:cs="Arial"/>
          <w:b/>
          <w:bCs/>
          <w:color w:val="4F81BD"/>
          <w:sz w:val="20"/>
          <w:szCs w:val="20"/>
          <w:lang w:eastAsia="en-AU"/>
        </w:rPr>
        <w:t>|</w:t>
      </w:r>
      <w:r>
        <w:rPr>
          <w:rFonts w:ascii="Arial" w:hAnsi="Arial" w:cs="Arial"/>
          <w:b/>
          <w:bCs/>
          <w:color w:val="1F497D"/>
          <w:sz w:val="20"/>
          <w:szCs w:val="20"/>
          <w:lang w:eastAsia="en-AU"/>
        </w:rPr>
        <w:t> Senior Project Officer </w:t>
      </w:r>
      <w:r>
        <w:rPr>
          <w:rFonts w:ascii="Arial" w:hAnsi="Arial" w:cs="Arial"/>
          <w:b/>
          <w:bCs/>
          <w:color w:val="4F81BD"/>
          <w:sz w:val="20"/>
          <w:szCs w:val="20"/>
          <w:lang w:eastAsia="en-AU"/>
        </w:rPr>
        <w:t>|</w:t>
      </w:r>
      <w:r>
        <w:rPr>
          <w:rFonts w:ascii="Arial" w:hAnsi="Arial" w:cs="Arial"/>
          <w:b/>
          <w:bCs/>
          <w:color w:val="1F497D"/>
          <w:sz w:val="20"/>
          <w:szCs w:val="20"/>
          <w:lang w:eastAsia="en-AU"/>
        </w:rPr>
        <w:t> Secondary Reform Division</w:t>
      </w:r>
    </w:p>
    <w:p w:rsidR="00965EA1" w:rsidRDefault="00965EA1" w:rsidP="00965EA1">
      <w:pPr>
        <w:rPr>
          <w:rFonts w:ascii="Arial" w:hAnsi="Arial" w:cs="Arial"/>
          <w:color w:val="000000"/>
          <w:sz w:val="20"/>
          <w:szCs w:val="20"/>
          <w:lang w:eastAsia="en-AU"/>
        </w:rPr>
      </w:pPr>
      <w:r>
        <w:rPr>
          <w:rFonts w:ascii="Arial" w:hAnsi="Arial" w:cs="Arial"/>
          <w:b/>
          <w:bCs/>
          <w:color w:val="548DD4"/>
          <w:sz w:val="20"/>
          <w:szCs w:val="20"/>
          <w:lang w:eastAsia="en-AU"/>
        </w:rPr>
        <w:t>Department of Education and Training</w:t>
      </w:r>
    </w:p>
    <w:p w:rsidR="00965EA1" w:rsidRDefault="00965EA1" w:rsidP="00965EA1">
      <w:pPr>
        <w:rPr>
          <w:rFonts w:ascii="Arial" w:hAnsi="Arial" w:cs="Arial"/>
          <w:color w:val="000000"/>
          <w:sz w:val="20"/>
          <w:szCs w:val="20"/>
          <w:lang w:eastAsia="en-AU"/>
        </w:rPr>
      </w:pPr>
      <w:r>
        <w:rPr>
          <w:rFonts w:ascii="Arial" w:hAnsi="Arial" w:cs="Arial"/>
          <w:color w:val="808080"/>
          <w:sz w:val="20"/>
          <w:szCs w:val="20"/>
          <w:lang w:eastAsia="en-AU"/>
        </w:rPr>
        <w:t>Level 2, 33 St Andrews Place, East Melbourne VIC 3002</w:t>
      </w:r>
    </w:p>
    <w:p w:rsidR="00965EA1" w:rsidRDefault="00965EA1" w:rsidP="00965EA1">
      <w:pPr>
        <w:rPr>
          <w:rFonts w:ascii="Arial" w:hAnsi="Arial" w:cs="Arial"/>
          <w:color w:val="1F497D"/>
          <w:sz w:val="20"/>
          <w:szCs w:val="20"/>
          <w:lang w:eastAsia="en-AU"/>
        </w:rPr>
      </w:pPr>
    </w:p>
    <w:p w:rsidR="00965EA1" w:rsidRDefault="00965EA1" w:rsidP="00965EA1">
      <w:pPr>
        <w:rPr>
          <w:rFonts w:ascii="Arial" w:hAnsi="Arial" w:cs="Arial"/>
          <w:color w:val="1F497D"/>
          <w:sz w:val="20"/>
          <w:szCs w:val="20"/>
          <w:lang w:eastAsia="en-AU"/>
        </w:rPr>
      </w:pPr>
      <w:r>
        <w:rPr>
          <w:rFonts w:ascii="Arial" w:hAnsi="Arial" w:cs="Arial"/>
          <w:color w:val="7F7F7F"/>
          <w:sz w:val="20"/>
          <w:szCs w:val="20"/>
          <w:lang w:eastAsia="en-AU"/>
        </w:rPr>
        <w:t>T: (03) 9651 3128  </w:t>
      </w:r>
    </w:p>
    <w:p w:rsidR="00965EA1" w:rsidRDefault="00965EA1" w:rsidP="00965EA1">
      <w:pPr>
        <w:rPr>
          <w:rFonts w:ascii="Arial" w:hAnsi="Arial" w:cs="Arial"/>
          <w:color w:val="7F7F7F"/>
          <w:sz w:val="20"/>
          <w:szCs w:val="20"/>
          <w:lang w:eastAsia="en-AU"/>
        </w:rPr>
      </w:pPr>
      <w:r>
        <w:rPr>
          <w:rFonts w:ascii="Arial" w:hAnsi="Arial" w:cs="Arial"/>
          <w:color w:val="7F7F7F"/>
          <w:sz w:val="20"/>
          <w:szCs w:val="20"/>
          <w:lang w:eastAsia="en-AU"/>
        </w:rPr>
        <w:t xml:space="preserve">E: </w:t>
      </w:r>
      <w:hyperlink r:id="rId34" w:history="1">
        <w:r>
          <w:rPr>
            <w:rStyle w:val="Hyperlink"/>
            <w:rFonts w:ascii="Arial" w:hAnsi="Arial" w:cs="Arial"/>
            <w:sz w:val="20"/>
            <w:szCs w:val="20"/>
            <w:lang w:eastAsia="en-AU"/>
          </w:rPr>
          <w:t>brown.jillian.k@edumail.vic.gov.au</w:t>
        </w:r>
      </w:hyperlink>
    </w:p>
    <w:p w:rsidR="00965EA1" w:rsidRDefault="00965EA1" w:rsidP="00965EA1">
      <w:pPr>
        <w:rPr>
          <w:rFonts w:ascii="Arial" w:hAnsi="Arial" w:cs="Arial"/>
          <w:color w:val="1F497D"/>
          <w:sz w:val="20"/>
          <w:szCs w:val="20"/>
          <w:lang w:eastAsia="en-AU"/>
        </w:rPr>
      </w:pPr>
      <w:r>
        <w:rPr>
          <w:rFonts w:ascii="Arial" w:hAnsi="Arial" w:cs="Arial"/>
          <w:color w:val="7F7F7F"/>
          <w:sz w:val="20"/>
          <w:szCs w:val="20"/>
          <w:lang w:eastAsia="en-AU"/>
        </w:rPr>
        <w:t>W</w:t>
      </w:r>
      <w:r>
        <w:rPr>
          <w:rFonts w:ascii="Arial" w:hAnsi="Arial" w:cs="Arial"/>
          <w:color w:val="1F497D"/>
          <w:sz w:val="20"/>
          <w:szCs w:val="20"/>
          <w:lang w:eastAsia="en-AU"/>
        </w:rPr>
        <w:t xml:space="preserve">: </w:t>
      </w:r>
      <w:hyperlink r:id="rId35" w:history="1">
        <w:r>
          <w:rPr>
            <w:rStyle w:val="Hyperlink"/>
            <w:rFonts w:ascii="Arial" w:hAnsi="Arial" w:cs="Arial"/>
            <w:sz w:val="20"/>
            <w:szCs w:val="20"/>
            <w:lang w:eastAsia="en-AU"/>
          </w:rPr>
          <w:t>www.education.vic.gov.au</w:t>
        </w:r>
      </w:hyperlink>
    </w:p>
    <w:p w:rsidR="00965EA1" w:rsidRDefault="00965EA1" w:rsidP="00965EA1">
      <w:pPr>
        <w:rPr>
          <w:color w:val="000000"/>
          <w:sz w:val="21"/>
          <w:szCs w:val="21"/>
          <w:lang w:eastAsia="en-AU"/>
        </w:rPr>
      </w:pPr>
    </w:p>
    <w:p w:rsidR="00965EA1" w:rsidRDefault="00965EA1" w:rsidP="00965EA1">
      <w:pPr>
        <w:rPr>
          <w:color w:val="000000"/>
          <w:sz w:val="21"/>
          <w:szCs w:val="21"/>
          <w:lang w:eastAsia="en-AU"/>
        </w:rPr>
      </w:pPr>
    </w:p>
    <w:p w:rsidR="00965EA1" w:rsidRDefault="00965EA1" w:rsidP="00965EA1">
      <w:pPr>
        <w:rPr>
          <w:color w:val="000000"/>
          <w:sz w:val="21"/>
          <w:szCs w:val="21"/>
          <w:lang w:eastAsia="en-AU"/>
        </w:rPr>
      </w:pPr>
      <w:r>
        <w:rPr>
          <w:noProof/>
          <w:color w:val="000000"/>
          <w:sz w:val="21"/>
          <w:szCs w:val="21"/>
          <w:lang w:eastAsia="en-AU"/>
        </w:rPr>
        <w:drawing>
          <wp:inline distT="0" distB="0" distL="0" distR="0">
            <wp:extent cx="1892300" cy="406400"/>
            <wp:effectExtent l="0" t="0" r="0" b="0"/>
            <wp:docPr id="1" name="Picture 1" descr="Description: Description: Description: Description: Description: cid:497B18D9-471A-41D7-8F62-AFF88701C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id:497B18D9-471A-41D7-8F62-AFF88701C40D"/>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892300" cy="406400"/>
                    </a:xfrm>
                    <a:prstGeom prst="rect">
                      <a:avLst/>
                    </a:prstGeom>
                    <a:noFill/>
                    <a:ln>
                      <a:noFill/>
                    </a:ln>
                  </pic:spPr>
                </pic:pic>
              </a:graphicData>
            </a:graphic>
          </wp:inline>
        </w:drawing>
      </w:r>
    </w:p>
    <w:p w:rsidR="00965EA1" w:rsidRDefault="00965EA1" w:rsidP="00965EA1">
      <w:pPr>
        <w:rPr>
          <w:color w:val="000000"/>
          <w:sz w:val="21"/>
          <w:szCs w:val="21"/>
          <w:lang w:eastAsia="en-AU"/>
        </w:rPr>
      </w:pPr>
    </w:p>
    <w:p w:rsidR="00965EA1" w:rsidRDefault="00965EA1" w:rsidP="00965EA1">
      <w:pPr>
        <w:rPr>
          <w:color w:val="000000"/>
          <w:lang w:eastAsia="en-AU"/>
        </w:rPr>
      </w:pPr>
    </w:p>
    <w:p w:rsidR="00965EA1" w:rsidRDefault="00965EA1" w:rsidP="00965EA1"/>
    <w:p w:rsidR="00514869" w:rsidRDefault="00965EA1"/>
    <w:sectPr w:rsidR="00514869" w:rsidSect="00965E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8D3"/>
    <w:multiLevelType w:val="hybridMultilevel"/>
    <w:tmpl w:val="FCA026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42A87441"/>
    <w:multiLevelType w:val="hybridMultilevel"/>
    <w:tmpl w:val="6D829C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4DEC0DE3"/>
    <w:multiLevelType w:val="hybridMultilevel"/>
    <w:tmpl w:val="581E07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A1"/>
    <w:rsid w:val="004B3F74"/>
    <w:rsid w:val="008C2117"/>
    <w:rsid w:val="00965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EA1"/>
    <w:rPr>
      <w:color w:val="0000FF"/>
      <w:u w:val="single"/>
    </w:rPr>
  </w:style>
  <w:style w:type="paragraph" w:styleId="ListParagraph">
    <w:name w:val="List Paragraph"/>
    <w:basedOn w:val="Normal"/>
    <w:uiPriority w:val="34"/>
    <w:qFormat/>
    <w:rsid w:val="00965EA1"/>
    <w:pPr>
      <w:ind w:left="720"/>
    </w:pPr>
    <w:rPr>
      <w:lang w:eastAsia="en-AU"/>
    </w:rPr>
  </w:style>
  <w:style w:type="character" w:styleId="Strong">
    <w:name w:val="Strong"/>
    <w:basedOn w:val="DefaultParagraphFont"/>
    <w:uiPriority w:val="22"/>
    <w:qFormat/>
    <w:rsid w:val="00965EA1"/>
    <w:rPr>
      <w:b/>
      <w:bCs/>
    </w:rPr>
  </w:style>
  <w:style w:type="paragraph" w:styleId="BalloonText">
    <w:name w:val="Balloon Text"/>
    <w:basedOn w:val="Normal"/>
    <w:link w:val="BalloonTextChar"/>
    <w:uiPriority w:val="99"/>
    <w:semiHidden/>
    <w:unhideWhenUsed/>
    <w:rsid w:val="00965EA1"/>
    <w:rPr>
      <w:rFonts w:ascii="Tahoma" w:hAnsi="Tahoma" w:cs="Tahoma"/>
      <w:sz w:val="16"/>
      <w:szCs w:val="16"/>
    </w:rPr>
  </w:style>
  <w:style w:type="character" w:customStyle="1" w:styleId="BalloonTextChar">
    <w:name w:val="Balloon Text Char"/>
    <w:basedOn w:val="DefaultParagraphFont"/>
    <w:link w:val="BalloonText"/>
    <w:uiPriority w:val="99"/>
    <w:semiHidden/>
    <w:rsid w:val="0096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EA1"/>
    <w:rPr>
      <w:color w:val="0000FF"/>
      <w:u w:val="single"/>
    </w:rPr>
  </w:style>
  <w:style w:type="paragraph" w:styleId="ListParagraph">
    <w:name w:val="List Paragraph"/>
    <w:basedOn w:val="Normal"/>
    <w:uiPriority w:val="34"/>
    <w:qFormat/>
    <w:rsid w:val="00965EA1"/>
    <w:pPr>
      <w:ind w:left="720"/>
    </w:pPr>
    <w:rPr>
      <w:lang w:eastAsia="en-AU"/>
    </w:rPr>
  </w:style>
  <w:style w:type="character" w:styleId="Strong">
    <w:name w:val="Strong"/>
    <w:basedOn w:val="DefaultParagraphFont"/>
    <w:uiPriority w:val="22"/>
    <w:qFormat/>
    <w:rsid w:val="00965EA1"/>
    <w:rPr>
      <w:b/>
      <w:bCs/>
    </w:rPr>
  </w:style>
  <w:style w:type="paragraph" w:styleId="BalloonText">
    <w:name w:val="Balloon Text"/>
    <w:basedOn w:val="Normal"/>
    <w:link w:val="BalloonTextChar"/>
    <w:uiPriority w:val="99"/>
    <w:semiHidden/>
    <w:unhideWhenUsed/>
    <w:rsid w:val="00965EA1"/>
    <w:rPr>
      <w:rFonts w:ascii="Tahoma" w:hAnsi="Tahoma" w:cs="Tahoma"/>
      <w:sz w:val="16"/>
      <w:szCs w:val="16"/>
    </w:rPr>
  </w:style>
  <w:style w:type="character" w:customStyle="1" w:styleId="BalloonTextChar">
    <w:name w:val="Balloon Text Char"/>
    <w:basedOn w:val="DefaultParagraphFont"/>
    <w:link w:val="BalloonText"/>
    <w:uiPriority w:val="99"/>
    <w:semiHidden/>
    <w:rsid w:val="0096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tralianeducators.ning.com/schedule-gmt-11-1" TargetMode="External"/><Relationship Id="rId13" Type="http://schemas.openxmlformats.org/officeDocument/2006/relationships/hyperlink" Target="http://australianeducators.ning.com/schedule-gmt-11-1" TargetMode="External"/><Relationship Id="rId18" Type="http://schemas.openxmlformats.org/officeDocument/2006/relationships/hyperlink" Target="file:///D:\Users\08461089\Desktop\Ballarat%20PEER%20COACH%20TRAINING%20for%20Digital%20Learning%20(2).docx" TargetMode="External"/><Relationship Id="rId26" Type="http://schemas.openxmlformats.org/officeDocument/2006/relationships/image" Target="cid:image012.png@01D05038.4ADDB9A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cid:image003.png@01D05011.DD2770C0" TargetMode="External"/><Relationship Id="rId34" Type="http://schemas.openxmlformats.org/officeDocument/2006/relationships/hyperlink" Target="mailto:brown.jillian.k@edumail.vic.gov.au" TargetMode="External"/><Relationship Id="rId7" Type="http://schemas.openxmlformats.org/officeDocument/2006/relationships/image" Target="cid:image001.jpg@01D05011.DD2770C0" TargetMode="External"/><Relationship Id="rId12" Type="http://schemas.openxmlformats.org/officeDocument/2006/relationships/hyperlink" Target="http://australianeducators.ning.com/2015-keynotes" TargetMode="External"/><Relationship Id="rId17" Type="http://schemas.openxmlformats.org/officeDocument/2006/relationships/image" Target="cid:image004.png@01D05011.DD2770C0" TargetMode="External"/><Relationship Id="rId25" Type="http://schemas.openxmlformats.org/officeDocument/2006/relationships/image" Target="media/image6.png"/><Relationship Id="rId33" Type="http://schemas.openxmlformats.org/officeDocument/2006/relationships/hyperlink" Target="file:///D:\Users\08461089\Documents\2015-nmc-horizon-report-he-en.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file:///D:\Users\08461089\Documents\2015-nmc-horizon-report-he-en.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7.png@01D05041.4753B970" TargetMode="External"/><Relationship Id="rId24" Type="http://schemas.openxmlformats.org/officeDocument/2006/relationships/hyperlink" Target="http://www.vcaa.vic.edu.au/Pages/earlyyears/profdev/onlineregistration.aspx" TargetMode="External"/><Relationship Id="rId32" Type="http://schemas.openxmlformats.org/officeDocument/2006/relationships/hyperlink" Target="file:///D:\Users\08461089\Documents\2015-nmc-horizon-report-he-en.pdf" TargetMode="External"/><Relationship Id="rId37" Type="http://schemas.openxmlformats.org/officeDocument/2006/relationships/image" Target="cid:image011.png@01D05011.DD2770C0" TargetMode="External"/><Relationship Id="rId5" Type="http://schemas.openxmlformats.org/officeDocument/2006/relationships/webSettings" Target="webSettings.xml"/><Relationship Id="rId15" Type="http://schemas.openxmlformats.org/officeDocument/2006/relationships/image" Target="cid:image005.png@01D0511A.04B25520" TargetMode="External"/><Relationship Id="rId23" Type="http://schemas.openxmlformats.org/officeDocument/2006/relationships/hyperlink" Target="https://register.eventarc.com/29016/early-yearsassessment-practice-in-multidisciplinary-networks" TargetMode="External"/><Relationship Id="rId28" Type="http://schemas.openxmlformats.org/officeDocument/2006/relationships/hyperlink" Target="http://debating.global2.vic.edu.au/" TargetMode="External"/><Relationship Id="rId36"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yperlink" Target="https://www.eventbrite.com.au/e/peer-coaching-ballarat-tickets-15562092638" TargetMode="External"/><Relationship Id="rId31" Type="http://schemas.openxmlformats.org/officeDocument/2006/relationships/image" Target="cid:image002.png@01D05116.F533AFC0" TargetMode="External"/><Relationship Id="rId4" Type="http://schemas.openxmlformats.org/officeDocument/2006/relationships/settings" Target="settings.xml"/><Relationship Id="rId9" Type="http://schemas.openxmlformats.org/officeDocument/2006/relationships/hyperlink" Target="http://diglearning.global2.vic.edu.au/prof-learning/" TargetMode="External"/><Relationship Id="rId14" Type="http://schemas.openxmlformats.org/officeDocument/2006/relationships/image" Target="media/image3.png"/><Relationship Id="rId22" Type="http://schemas.openxmlformats.org/officeDocument/2006/relationships/hyperlink" Target="http://www.bastow.vic.edu.au/professional-practice-and-events/display-event?eventID=157" TargetMode="External"/><Relationship Id="rId27" Type="http://schemas.openxmlformats.org/officeDocument/2006/relationships/hyperlink" Target="http://debating.global2.vic.edu.au/" TargetMode="External"/><Relationship Id="rId30" Type="http://schemas.openxmlformats.org/officeDocument/2006/relationships/image" Target="media/image7.png"/><Relationship Id="rId35" Type="http://schemas.openxmlformats.org/officeDocument/2006/relationships/hyperlink" Target="http://www.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Jillian K</dc:creator>
  <cp:keywords/>
  <dc:description/>
  <cp:lastModifiedBy>Brown, Jillian K</cp:lastModifiedBy>
  <cp:revision>1</cp:revision>
  <dcterms:created xsi:type="dcterms:W3CDTF">2015-03-04T03:09:00Z</dcterms:created>
  <dcterms:modified xsi:type="dcterms:W3CDTF">2015-03-04T03:10:00Z</dcterms:modified>
</cp:coreProperties>
</file>