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BF50" w14:textId="77777777" w:rsidR="006306B1" w:rsidRDefault="006306B1" w:rsidP="006306B1">
      <w:pPr>
        <w:rPr>
          <w:rFonts w:ascii="Arial" w:hAnsi="Arial" w:cs="Arial"/>
          <w:color w:val="666666"/>
          <w:sz w:val="20"/>
          <w:szCs w:val="20"/>
          <w:lang w:val="en-US" w:eastAsia="en-AU"/>
        </w:rPr>
      </w:pPr>
      <w:bookmarkStart w:id="0" w:name="_GoBack"/>
      <w:bookmarkEnd w:id="0"/>
      <w:r>
        <w:rPr>
          <w:rFonts w:ascii="Arial" w:hAnsi="Arial" w:cs="Arial"/>
          <w:color w:val="0072C6"/>
          <w:sz w:val="35"/>
          <w:szCs w:val="35"/>
          <w:lang w:eastAsia="en-AU"/>
        </w:rPr>
        <w:t>ICT Planning Workshops overview</w:t>
      </w:r>
    </w:p>
    <w:p w14:paraId="093A2826" w14:textId="77777777" w:rsidR="006306B1" w:rsidRDefault="006306B1" w:rsidP="006306B1">
      <w:pPr>
        <w:shd w:val="clear" w:color="auto" w:fill="FFFFFF"/>
        <w:spacing w:after="150" w:line="240" w:lineRule="auto"/>
        <w:rPr>
          <w:rFonts w:ascii="Arial" w:hAnsi="Arial" w:cs="Arial"/>
          <w:sz w:val="20"/>
          <w:szCs w:val="20"/>
          <w:lang w:eastAsia="en-AU"/>
        </w:rPr>
      </w:pPr>
      <w:r>
        <w:rPr>
          <w:rFonts w:ascii="Arial" w:hAnsi="Arial" w:cs="Arial"/>
          <w:color w:val="666666"/>
          <w:sz w:val="20"/>
          <w:szCs w:val="20"/>
          <w:lang w:eastAsia="en-AU"/>
        </w:rPr>
        <w:t>IMTD offer two workshop formats.</w:t>
      </w:r>
    </w:p>
    <w:p w14:paraId="1722E33E" w14:textId="77777777" w:rsidR="006306B1" w:rsidRDefault="006306B1" w:rsidP="006306B1">
      <w:pPr>
        <w:shd w:val="clear" w:color="auto" w:fill="FFFFFF"/>
        <w:spacing w:after="150" w:line="240" w:lineRule="auto"/>
        <w:rPr>
          <w:rFonts w:ascii="Arial" w:hAnsi="Arial" w:cs="Arial"/>
          <w:i/>
          <w:iCs/>
          <w:color w:val="2E74B5"/>
          <w:sz w:val="24"/>
          <w:szCs w:val="24"/>
          <w:lang w:eastAsia="en-AU"/>
        </w:rPr>
      </w:pPr>
      <w:r>
        <w:rPr>
          <w:rFonts w:ascii="Arial" w:hAnsi="Arial" w:cs="Arial"/>
          <w:i/>
          <w:iCs/>
          <w:color w:val="2E74B5"/>
          <w:sz w:val="24"/>
          <w:szCs w:val="24"/>
          <w:lang w:eastAsia="en-AU"/>
        </w:rPr>
        <w:t>ICT Planning Workshops</w:t>
      </w:r>
    </w:p>
    <w:p w14:paraId="30748629"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These full-day workshops walk school leaders through the process of developing a long-term school ICT Plan that: </w:t>
      </w:r>
    </w:p>
    <w:p w14:paraId="014B950F"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addresses the Learning and Teaching goals of the school</w:t>
      </w:r>
    </w:p>
    <w:p w14:paraId="4BA222D6"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develops a sustainable ICT plan that meets the needs of the school community</w:t>
      </w:r>
    </w:p>
    <w:p w14:paraId="261F4309"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ensures a coherent team approach to ICT planning involving school leaders, ICT co-ordinators, curriculum co-ordinators and technical support staff.</w:t>
      </w:r>
    </w:p>
    <w:p w14:paraId="185B86AA"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These workshops include in-depth explanations and demonstrations of all the elements of the online ICT Planning Tool and resources and is the preferable workshop for first-time attendees, or those needing to refresh their understanding of the tool and the supporting resources.</w:t>
      </w:r>
    </w:p>
    <w:p w14:paraId="0A49EBCC" w14:textId="77777777" w:rsidR="006306B1" w:rsidRDefault="006306B1" w:rsidP="006306B1">
      <w:pPr>
        <w:shd w:val="clear" w:color="auto" w:fill="FFFFFF"/>
        <w:spacing w:after="150" w:line="240" w:lineRule="auto"/>
        <w:rPr>
          <w:rFonts w:ascii="Arial" w:hAnsi="Arial" w:cs="Arial"/>
          <w:i/>
          <w:iCs/>
          <w:color w:val="2E74B5"/>
          <w:sz w:val="24"/>
          <w:szCs w:val="24"/>
          <w:lang w:eastAsia="en-AU"/>
        </w:rPr>
      </w:pPr>
      <w:r>
        <w:rPr>
          <w:rFonts w:ascii="Arial" w:hAnsi="Arial" w:cs="Arial"/>
          <w:i/>
          <w:iCs/>
          <w:color w:val="2E74B5"/>
          <w:sz w:val="24"/>
          <w:szCs w:val="24"/>
          <w:lang w:eastAsia="en-AU"/>
        </w:rPr>
        <w:t>“Next Steps” Workshops</w:t>
      </w:r>
    </w:p>
    <w:p w14:paraId="50E7A1E3" w14:textId="4C875E92"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These full-day workshops target school leaders familiar with the ICT Planning Tool and resources and are seeking to take the next steps in understanding the ICT planning and management cycle.  This workshop focuses on helping schools keep the momentum and includes activities, presentations and resources that:</w:t>
      </w:r>
    </w:p>
    <w:p w14:paraId="613A64D1"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Review the current plan - what went right, what went wrong</w:t>
      </w:r>
    </w:p>
    <w:p w14:paraId="183AA096"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Define key personnel roles and responsibilities</w:t>
      </w:r>
    </w:p>
    <w:p w14:paraId="1C2F5B3C"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Change Management concepts</w:t>
      </w:r>
    </w:p>
    <w:p w14:paraId="5FCBBDE0" w14:textId="77777777" w:rsidR="006306B1" w:rsidRDefault="006306B1" w:rsidP="006306B1">
      <w:pPr>
        <w:numPr>
          <w:ilvl w:val="0"/>
          <w:numId w:val="1"/>
        </w:numPr>
        <w:contextualSpacing/>
        <w:rPr>
          <w:rFonts w:ascii="Arial" w:hAnsi="Arial" w:cs="Arial"/>
          <w:color w:val="666666"/>
          <w:sz w:val="20"/>
          <w:szCs w:val="20"/>
          <w:lang w:eastAsia="en-AU"/>
        </w:rPr>
      </w:pPr>
      <w:r>
        <w:rPr>
          <w:rFonts w:ascii="Arial" w:hAnsi="Arial" w:cs="Arial"/>
          <w:color w:val="666666"/>
          <w:sz w:val="20"/>
          <w:szCs w:val="20"/>
          <w:lang w:eastAsia="en-AU"/>
        </w:rPr>
        <w:t>Writing proposals and effective communication.</w:t>
      </w:r>
    </w:p>
    <w:p w14:paraId="2640133E" w14:textId="77777777" w:rsidR="006306B1" w:rsidRDefault="006306B1" w:rsidP="006306B1">
      <w:pPr>
        <w:rPr>
          <w:rFonts w:ascii="Arial" w:hAnsi="Arial" w:cs="Arial"/>
          <w:color w:val="666666"/>
          <w:sz w:val="20"/>
          <w:szCs w:val="20"/>
          <w:lang w:eastAsia="en-AU"/>
        </w:rPr>
      </w:pPr>
      <w:r>
        <w:rPr>
          <w:rFonts w:ascii="Arial" w:hAnsi="Arial" w:cs="Arial"/>
          <w:color w:val="666666"/>
          <w:sz w:val="20"/>
          <w:szCs w:val="20"/>
          <w:lang w:eastAsia="en-AU"/>
        </w:rPr>
        <w:t>These workshops assume attendees have previously attended an ICT Planning Workshop and are confident using the ICT Planning Tool.</w:t>
      </w:r>
    </w:p>
    <w:p w14:paraId="032EF556" w14:textId="77777777" w:rsidR="006306B1" w:rsidRDefault="006306B1" w:rsidP="006306B1">
      <w:pPr>
        <w:shd w:val="clear" w:color="auto" w:fill="FFFFFF"/>
        <w:spacing w:before="100" w:beforeAutospacing="1" w:after="100" w:afterAutospacing="1" w:line="240" w:lineRule="auto"/>
        <w:rPr>
          <w:rFonts w:ascii="Arial" w:hAnsi="Arial" w:cs="Arial"/>
          <w:color w:val="0072C6"/>
          <w:sz w:val="35"/>
          <w:szCs w:val="35"/>
          <w:lang w:eastAsia="en-AU"/>
        </w:rPr>
      </w:pPr>
      <w:r>
        <w:rPr>
          <w:rFonts w:ascii="Arial" w:hAnsi="Arial" w:cs="Arial"/>
          <w:color w:val="0072C6"/>
          <w:sz w:val="35"/>
          <w:szCs w:val="35"/>
          <w:lang w:eastAsia="en-AU"/>
        </w:rPr>
        <w:t>ICT Planning Tool</w:t>
      </w:r>
    </w:p>
    <w:p w14:paraId="3B86A67B"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The DET Online ICT Planning Tool is designed to assist the school in producing a customised ICT Plan that brings together SIPS data, the school curriculum goals and budgetary considerations. </w:t>
      </w:r>
      <w:r>
        <w:rPr>
          <w:rFonts w:ascii="Arial" w:hAnsi="Arial" w:cs="Arial"/>
          <w:color w:val="666666"/>
          <w:sz w:val="20"/>
          <w:szCs w:val="20"/>
          <w:lang w:eastAsia="en-AU"/>
        </w:rPr>
        <w:br/>
        <w:t>Principals, Learning Technologies Coordinators and Specialist Technicians can access the tool using the link below: </w:t>
      </w:r>
      <w:r>
        <w:rPr>
          <w:rFonts w:ascii="Arial" w:hAnsi="Arial" w:cs="Arial"/>
          <w:color w:val="666666"/>
          <w:sz w:val="20"/>
          <w:szCs w:val="20"/>
          <w:lang w:eastAsia="en-AU"/>
        </w:rPr>
        <w:br/>
      </w:r>
      <w:hyperlink r:id="rId5" w:history="1">
        <w:r>
          <w:rPr>
            <w:rStyle w:val="Hyperlink"/>
            <w:rFonts w:ascii="Arial" w:hAnsi="Arial" w:cs="Arial"/>
            <w:color w:val="0D9AD3"/>
            <w:sz w:val="20"/>
            <w:szCs w:val="20"/>
            <w:lang w:eastAsia="en-AU"/>
          </w:rPr>
          <w:t>https://apps.edustar.vic.edu.au/prism</w:t>
        </w:r>
      </w:hyperlink>
      <w:r>
        <w:rPr>
          <w:rFonts w:ascii="Arial" w:hAnsi="Arial" w:cs="Arial"/>
          <w:color w:val="666666"/>
          <w:sz w:val="20"/>
          <w:szCs w:val="20"/>
          <w:lang w:eastAsia="en-AU"/>
        </w:rPr>
        <w:t>  (Department credentials required to login)</w:t>
      </w:r>
    </w:p>
    <w:p w14:paraId="37AD860B" w14:textId="77777777" w:rsidR="006306B1" w:rsidRDefault="006306B1" w:rsidP="006306B1">
      <w:pPr>
        <w:shd w:val="clear" w:color="auto" w:fill="FFFFFF"/>
        <w:spacing w:before="100" w:beforeAutospacing="1" w:after="100" w:afterAutospacing="1" w:line="240" w:lineRule="auto"/>
        <w:rPr>
          <w:rFonts w:ascii="Arial" w:hAnsi="Arial" w:cs="Arial"/>
          <w:color w:val="0072C6"/>
          <w:sz w:val="35"/>
          <w:szCs w:val="35"/>
          <w:lang w:eastAsia="en-AU"/>
        </w:rPr>
      </w:pPr>
      <w:r>
        <w:rPr>
          <w:rFonts w:ascii="Arial" w:hAnsi="Arial" w:cs="Arial"/>
          <w:color w:val="0072C6"/>
          <w:sz w:val="35"/>
          <w:szCs w:val="35"/>
          <w:lang w:eastAsia="en-AU"/>
        </w:rPr>
        <w:t>Who Should Attend</w:t>
      </w:r>
    </w:p>
    <w:p w14:paraId="16FC17CF"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 xml:space="preserve">Both workshops are targeted at school leaders involved in their schools’ ICT planning and may include: </w:t>
      </w:r>
    </w:p>
    <w:p w14:paraId="602A226F"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Principals and/or Assistant Principals</w:t>
      </w:r>
    </w:p>
    <w:p w14:paraId="4B77EC0B"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Business Managers</w:t>
      </w:r>
    </w:p>
    <w:p w14:paraId="52A7352A"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 xml:space="preserve">eLearning, ICT or LT Managers or Coordinators </w:t>
      </w:r>
    </w:p>
    <w:p w14:paraId="73AF7DEC"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Specialist and/or Local Technicians</w:t>
      </w:r>
    </w:p>
    <w:p w14:paraId="2E7EB5A1" w14:textId="77777777" w:rsidR="006306B1" w:rsidRDefault="006306B1" w:rsidP="006306B1">
      <w:pPr>
        <w:numPr>
          <w:ilvl w:val="0"/>
          <w:numId w:val="1"/>
        </w:numPr>
        <w:shd w:val="clear" w:color="auto" w:fill="FFFFFF"/>
        <w:spacing w:after="150" w:line="240" w:lineRule="auto"/>
        <w:contextualSpacing/>
        <w:rPr>
          <w:rFonts w:ascii="Arial" w:hAnsi="Arial" w:cs="Arial"/>
          <w:color w:val="666666"/>
          <w:sz w:val="20"/>
          <w:szCs w:val="20"/>
          <w:lang w:eastAsia="en-AU"/>
        </w:rPr>
      </w:pPr>
      <w:r>
        <w:rPr>
          <w:rFonts w:ascii="Arial" w:hAnsi="Arial" w:cs="Arial"/>
          <w:color w:val="666666"/>
          <w:sz w:val="20"/>
          <w:szCs w:val="20"/>
          <w:lang w:eastAsia="en-AU"/>
        </w:rPr>
        <w:t>Leading or Classroom Teachers involved in ICT planning</w:t>
      </w:r>
    </w:p>
    <w:p w14:paraId="4E0AB4BC"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br/>
        <w:t>We recommend that you have two to three attendees from your school, that one attendee is your Specialist Technician to help with technical details.</w:t>
      </w:r>
    </w:p>
    <w:p w14:paraId="0BC46292"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Please note that the Specialist Technician should not be the only attendee.</w:t>
      </w:r>
    </w:p>
    <w:p w14:paraId="08063F74"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Your Specialist Technician may need a visitation schedule alteration and will be required to log the hours against your school’s allocation - if there are any queries or concerns regarding this please contact your Service Delivery Manager.</w:t>
      </w:r>
    </w:p>
    <w:p w14:paraId="72BCF265" w14:textId="77777777" w:rsidR="006306B1" w:rsidRDefault="006306B1" w:rsidP="006306B1">
      <w:pPr>
        <w:shd w:val="clear" w:color="auto" w:fill="FFFFFF"/>
        <w:spacing w:before="100" w:beforeAutospacing="1" w:after="100" w:afterAutospacing="1" w:line="240" w:lineRule="auto"/>
        <w:rPr>
          <w:rFonts w:ascii="Arial" w:hAnsi="Arial" w:cs="Arial"/>
          <w:color w:val="0072C6"/>
          <w:sz w:val="35"/>
          <w:szCs w:val="35"/>
          <w:lang w:eastAsia="en-AU"/>
        </w:rPr>
      </w:pPr>
      <w:r>
        <w:rPr>
          <w:rFonts w:ascii="Arial" w:hAnsi="Arial" w:cs="Arial"/>
          <w:color w:val="0072C6"/>
          <w:sz w:val="35"/>
          <w:szCs w:val="35"/>
          <w:lang w:eastAsia="en-AU"/>
        </w:rPr>
        <w:lastRenderedPageBreak/>
        <w:t>Benefits of attending an ICT Planning Workshop</w:t>
      </w:r>
    </w:p>
    <w:p w14:paraId="55AC01CE" w14:textId="77777777" w:rsidR="006306B1" w:rsidRDefault="006306B1" w:rsidP="006306B1">
      <w:pPr>
        <w:shd w:val="clear" w:color="auto" w:fill="FFFFFF"/>
        <w:spacing w:after="150" w:line="240" w:lineRule="auto"/>
        <w:rPr>
          <w:rFonts w:ascii="Arial" w:hAnsi="Arial" w:cs="Arial"/>
          <w:color w:val="666666"/>
          <w:sz w:val="20"/>
          <w:szCs w:val="20"/>
          <w:lang w:eastAsia="en-AU"/>
        </w:rPr>
      </w:pPr>
      <w:r>
        <w:rPr>
          <w:rFonts w:ascii="Arial" w:hAnsi="Arial" w:cs="Arial"/>
          <w:color w:val="666666"/>
          <w:sz w:val="20"/>
          <w:szCs w:val="20"/>
          <w:lang w:eastAsia="en-AU"/>
        </w:rPr>
        <w:t>View the short video below where school leaders who attended ICT Planning Workshops talk about the benefits of the workshop day and the online ICT Planning Tool: </w:t>
      </w:r>
      <w:r>
        <w:rPr>
          <w:rFonts w:ascii="Arial" w:hAnsi="Arial" w:cs="Arial"/>
          <w:color w:val="666666"/>
          <w:sz w:val="20"/>
          <w:szCs w:val="20"/>
          <w:lang w:eastAsia="en-AU"/>
        </w:rPr>
        <w:br/>
      </w:r>
      <w:hyperlink r:id="rId6" w:history="1">
        <w:r>
          <w:rPr>
            <w:rStyle w:val="Hyperlink"/>
            <w:rFonts w:ascii="Arial" w:hAnsi="Arial" w:cs="Arial"/>
            <w:color w:val="0D9AD3"/>
            <w:sz w:val="20"/>
            <w:szCs w:val="20"/>
            <w:lang w:eastAsia="en-AU"/>
          </w:rPr>
          <w:t>http://fuse.education.vic.gov.au/?XH7FW9</w:t>
        </w:r>
      </w:hyperlink>
      <w:r>
        <w:rPr>
          <w:rFonts w:ascii="Arial" w:hAnsi="Arial" w:cs="Arial"/>
          <w:color w:val="666666"/>
          <w:sz w:val="20"/>
          <w:szCs w:val="20"/>
          <w:lang w:eastAsia="en-AU"/>
        </w:rPr>
        <w:t>​​​​</w:t>
      </w:r>
    </w:p>
    <w:p w14:paraId="42CE1214" w14:textId="77777777" w:rsidR="006306B1" w:rsidRDefault="006306B1" w:rsidP="006306B1">
      <w:pPr>
        <w:shd w:val="clear" w:color="auto" w:fill="FFFFFF"/>
        <w:spacing w:before="100" w:beforeAutospacing="1" w:after="100" w:afterAutospacing="1" w:line="240" w:lineRule="auto"/>
        <w:rPr>
          <w:rFonts w:ascii="Arial" w:hAnsi="Arial" w:cs="Arial"/>
          <w:color w:val="0072C6"/>
          <w:sz w:val="35"/>
          <w:szCs w:val="35"/>
          <w:lang w:eastAsia="en-AU"/>
        </w:rPr>
      </w:pPr>
      <w:r>
        <w:rPr>
          <w:rFonts w:ascii="Arial" w:hAnsi="Arial" w:cs="Arial"/>
          <w:color w:val="0072C6"/>
          <w:sz w:val="35"/>
          <w:szCs w:val="35"/>
          <w:lang w:eastAsia="en-AU"/>
        </w:rPr>
        <w:t>ICT Planning Workshops</w:t>
      </w:r>
    </w:p>
    <w:tbl>
      <w:tblPr>
        <w:tblW w:w="4559" w:type="pct"/>
        <w:shd w:val="clear" w:color="auto" w:fill="FFFFFF"/>
        <w:tblCellMar>
          <w:left w:w="0" w:type="dxa"/>
          <w:right w:w="0" w:type="dxa"/>
        </w:tblCellMar>
        <w:tblLook w:val="04A0" w:firstRow="1" w:lastRow="0" w:firstColumn="1" w:lastColumn="0" w:noHBand="0" w:noVBand="1"/>
      </w:tblPr>
      <w:tblGrid>
        <w:gridCol w:w="3367"/>
        <w:gridCol w:w="2152"/>
        <w:gridCol w:w="2693"/>
      </w:tblGrid>
      <w:tr w:rsidR="006306B1" w14:paraId="1B471A19" w14:textId="77777777" w:rsidTr="00A660A6">
        <w:tc>
          <w:tcPr>
            <w:tcW w:w="3367" w:type="dxa"/>
            <w:tcBorders>
              <w:top w:val="single" w:sz="8" w:space="0" w:color="005594"/>
              <w:left w:val="single" w:sz="8" w:space="0" w:color="005594"/>
              <w:bottom w:val="single" w:sz="8" w:space="0" w:color="005594"/>
              <w:right w:val="single" w:sz="8" w:space="0" w:color="005594"/>
            </w:tcBorders>
            <w:shd w:val="clear" w:color="auto" w:fill="005594"/>
            <w:tcMar>
              <w:top w:w="105" w:type="dxa"/>
              <w:left w:w="75" w:type="dxa"/>
              <w:bottom w:w="90" w:type="dxa"/>
              <w:right w:w="75" w:type="dxa"/>
            </w:tcMar>
            <w:hideMark/>
          </w:tcPr>
          <w:p w14:paraId="769865B9" w14:textId="77777777" w:rsidR="006306B1" w:rsidRDefault="006306B1">
            <w:pPr>
              <w:spacing w:after="0" w:line="240" w:lineRule="auto"/>
              <w:rPr>
                <w:rFonts w:ascii="Arial" w:hAnsi="Arial" w:cs="Arial"/>
                <w:color w:val="FFFFFF"/>
                <w:sz w:val="20"/>
                <w:szCs w:val="20"/>
                <w:lang w:eastAsia="en-AU"/>
              </w:rPr>
            </w:pPr>
            <w:r>
              <w:rPr>
                <w:rFonts w:ascii="Arial" w:hAnsi="Arial" w:cs="Arial"/>
                <w:b/>
                <w:bCs/>
                <w:color w:val="FFFFFF"/>
                <w:sz w:val="20"/>
                <w:szCs w:val="20"/>
                <w:lang w:eastAsia="en-AU"/>
              </w:rPr>
              <w:t>ICT Planning Workshops</w:t>
            </w:r>
          </w:p>
        </w:tc>
        <w:tc>
          <w:tcPr>
            <w:tcW w:w="2152" w:type="dxa"/>
            <w:tcBorders>
              <w:top w:val="single" w:sz="8" w:space="0" w:color="005594"/>
              <w:left w:val="nil"/>
              <w:bottom w:val="single" w:sz="8" w:space="0" w:color="005594"/>
              <w:right w:val="single" w:sz="8" w:space="0" w:color="005594"/>
            </w:tcBorders>
            <w:shd w:val="clear" w:color="auto" w:fill="005594"/>
            <w:tcMar>
              <w:top w:w="105" w:type="dxa"/>
              <w:left w:w="75" w:type="dxa"/>
              <w:bottom w:w="90" w:type="dxa"/>
              <w:right w:w="75" w:type="dxa"/>
            </w:tcMar>
            <w:hideMark/>
          </w:tcPr>
          <w:p w14:paraId="4F836FF4" w14:textId="77777777" w:rsidR="006306B1" w:rsidRDefault="006306B1">
            <w:pPr>
              <w:spacing w:after="0" w:line="240" w:lineRule="auto"/>
              <w:rPr>
                <w:rFonts w:ascii="Arial" w:hAnsi="Arial" w:cs="Arial"/>
                <w:color w:val="FFFFFF"/>
                <w:sz w:val="20"/>
                <w:szCs w:val="20"/>
                <w:lang w:eastAsia="en-AU"/>
              </w:rPr>
            </w:pPr>
            <w:r>
              <w:rPr>
                <w:rFonts w:ascii="Arial" w:hAnsi="Arial" w:cs="Arial"/>
                <w:b/>
                <w:bCs/>
                <w:color w:val="FFFFFF"/>
                <w:sz w:val="20"/>
                <w:szCs w:val="20"/>
                <w:lang w:eastAsia="en-AU"/>
              </w:rPr>
              <w:t>Date</w:t>
            </w:r>
          </w:p>
        </w:tc>
        <w:tc>
          <w:tcPr>
            <w:tcW w:w="2693" w:type="dxa"/>
            <w:tcBorders>
              <w:top w:val="single" w:sz="8" w:space="0" w:color="005594"/>
              <w:left w:val="nil"/>
              <w:bottom w:val="single" w:sz="8" w:space="0" w:color="005594"/>
              <w:right w:val="single" w:sz="8" w:space="0" w:color="005594"/>
            </w:tcBorders>
            <w:shd w:val="clear" w:color="auto" w:fill="005594"/>
            <w:tcMar>
              <w:top w:w="105" w:type="dxa"/>
              <w:left w:w="75" w:type="dxa"/>
              <w:bottom w:w="90" w:type="dxa"/>
              <w:right w:w="75" w:type="dxa"/>
            </w:tcMar>
            <w:hideMark/>
          </w:tcPr>
          <w:p w14:paraId="006AC653" w14:textId="77777777" w:rsidR="006306B1" w:rsidRDefault="006306B1">
            <w:pPr>
              <w:spacing w:after="0" w:line="240" w:lineRule="auto"/>
              <w:rPr>
                <w:rFonts w:ascii="Arial" w:hAnsi="Arial" w:cs="Arial"/>
                <w:color w:val="FFFFFF"/>
                <w:sz w:val="20"/>
                <w:szCs w:val="20"/>
                <w:lang w:eastAsia="en-AU"/>
              </w:rPr>
            </w:pPr>
            <w:r>
              <w:rPr>
                <w:rFonts w:ascii="Arial" w:hAnsi="Arial" w:cs="Arial"/>
                <w:b/>
                <w:bCs/>
                <w:color w:val="FFFFFF"/>
                <w:sz w:val="20"/>
                <w:szCs w:val="20"/>
                <w:lang w:eastAsia="en-AU"/>
              </w:rPr>
              <w:t>Booking Link</w:t>
            </w:r>
          </w:p>
        </w:tc>
      </w:tr>
      <w:tr w:rsidR="00D23153" w14:paraId="3937CF11" w14:textId="77777777" w:rsidTr="00A660A6">
        <w:tc>
          <w:tcPr>
            <w:tcW w:w="3367" w:type="dxa"/>
            <w:tcBorders>
              <w:top w:val="nil"/>
              <w:left w:val="single" w:sz="8" w:space="0" w:color="005594"/>
              <w:bottom w:val="single" w:sz="8" w:space="0" w:color="005594"/>
              <w:right w:val="single" w:sz="8" w:space="0" w:color="005594"/>
            </w:tcBorders>
            <w:shd w:val="clear" w:color="auto" w:fill="FFFFFF"/>
            <w:tcMar>
              <w:top w:w="105" w:type="dxa"/>
              <w:left w:w="75" w:type="dxa"/>
              <w:bottom w:w="90" w:type="dxa"/>
              <w:right w:w="75" w:type="dxa"/>
            </w:tcMar>
          </w:tcPr>
          <w:p w14:paraId="14A6A37F" w14:textId="2086D394" w:rsidR="00D23153" w:rsidRDefault="00D23153">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Moe</w:t>
            </w:r>
          </w:p>
        </w:tc>
        <w:tc>
          <w:tcPr>
            <w:tcW w:w="2152"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tcPr>
          <w:p w14:paraId="57DAF409" w14:textId="1F83CF4D" w:rsidR="00D23153" w:rsidRDefault="00D23153">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August 16</w:t>
            </w:r>
            <w:r w:rsidRPr="00D23153">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2018</w:t>
            </w:r>
          </w:p>
        </w:tc>
        <w:tc>
          <w:tcPr>
            <w:tcW w:w="2693"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tcPr>
          <w:p w14:paraId="05D0E041" w14:textId="71A94C50" w:rsidR="00D23153" w:rsidRDefault="00A82FA5">
            <w:pPr>
              <w:spacing w:after="0" w:line="240" w:lineRule="auto"/>
              <w:rPr>
                <w:rStyle w:val="Hyperlink"/>
              </w:rPr>
            </w:pPr>
            <w:hyperlink r:id="rId7" w:history="1">
              <w:r w:rsidR="00D23153" w:rsidRPr="00D23153">
                <w:rPr>
                  <w:rStyle w:val="Hyperlink"/>
                </w:rPr>
                <w:t>Moe</w:t>
              </w:r>
            </w:hyperlink>
          </w:p>
        </w:tc>
      </w:tr>
      <w:tr w:rsidR="006306B1" w14:paraId="2649090E" w14:textId="77777777" w:rsidTr="00A660A6">
        <w:tc>
          <w:tcPr>
            <w:tcW w:w="3367" w:type="dxa"/>
            <w:tcBorders>
              <w:top w:val="nil"/>
              <w:left w:val="single" w:sz="8" w:space="0" w:color="005594"/>
              <w:bottom w:val="single" w:sz="8" w:space="0" w:color="005594"/>
              <w:right w:val="single" w:sz="8" w:space="0" w:color="005594"/>
            </w:tcBorders>
            <w:shd w:val="clear" w:color="auto" w:fill="FFFFFF"/>
            <w:tcMar>
              <w:top w:w="105" w:type="dxa"/>
              <w:left w:w="75" w:type="dxa"/>
              <w:bottom w:w="90" w:type="dxa"/>
              <w:right w:w="75" w:type="dxa"/>
            </w:tcMar>
            <w:hideMark/>
          </w:tcPr>
          <w:p w14:paraId="11C0F08D" w14:textId="68CE651A" w:rsidR="006306B1" w:rsidRDefault="006306B1">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Flemington</w:t>
            </w:r>
          </w:p>
        </w:tc>
        <w:tc>
          <w:tcPr>
            <w:tcW w:w="2152"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31D90A6E" w14:textId="6BA4521C" w:rsidR="006306B1" w:rsidRDefault="006306B1">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August 21</w:t>
            </w:r>
            <w:r w:rsidRPr="006306B1">
              <w:rPr>
                <w:rFonts w:ascii="Arial" w:hAnsi="Arial" w:cs="Arial"/>
                <w:color w:val="666666"/>
                <w:sz w:val="20"/>
                <w:szCs w:val="20"/>
                <w:vertAlign w:val="superscript"/>
                <w:lang w:eastAsia="en-AU"/>
              </w:rPr>
              <w:t>st</w:t>
            </w:r>
            <w:r>
              <w:rPr>
                <w:rFonts w:ascii="Arial" w:hAnsi="Arial" w:cs="Arial"/>
                <w:color w:val="666666"/>
                <w:sz w:val="20"/>
                <w:szCs w:val="20"/>
                <w:lang w:eastAsia="en-AU"/>
              </w:rPr>
              <w:t xml:space="preserve"> 2018</w:t>
            </w:r>
          </w:p>
        </w:tc>
        <w:tc>
          <w:tcPr>
            <w:tcW w:w="2693"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6E71FECE" w14:textId="74664528" w:rsidR="006306B1" w:rsidRDefault="00A82FA5">
            <w:pPr>
              <w:spacing w:after="0" w:line="240" w:lineRule="auto"/>
              <w:rPr>
                <w:rFonts w:ascii="Arial" w:hAnsi="Arial" w:cs="Arial"/>
                <w:color w:val="666666"/>
                <w:sz w:val="20"/>
                <w:szCs w:val="20"/>
                <w:lang w:eastAsia="en-AU"/>
              </w:rPr>
            </w:pPr>
            <w:hyperlink r:id="rId8" w:history="1">
              <w:r w:rsidR="006306B1" w:rsidRPr="006306B1">
                <w:rPr>
                  <w:rStyle w:val="Hyperlink"/>
                </w:rPr>
                <w:t>Flemington</w:t>
              </w:r>
            </w:hyperlink>
          </w:p>
        </w:tc>
      </w:tr>
      <w:tr w:rsidR="006306B1" w14:paraId="7C2E81A4" w14:textId="77777777" w:rsidTr="00A660A6">
        <w:tc>
          <w:tcPr>
            <w:tcW w:w="3367" w:type="dxa"/>
            <w:tcBorders>
              <w:top w:val="nil"/>
              <w:left w:val="single" w:sz="8" w:space="0" w:color="005594"/>
              <w:bottom w:val="single" w:sz="8" w:space="0" w:color="005594"/>
              <w:right w:val="single" w:sz="8" w:space="0" w:color="005594"/>
            </w:tcBorders>
            <w:shd w:val="clear" w:color="auto" w:fill="FFFFFF"/>
            <w:tcMar>
              <w:top w:w="105" w:type="dxa"/>
              <w:left w:w="75" w:type="dxa"/>
              <w:bottom w:w="90" w:type="dxa"/>
              <w:right w:w="75" w:type="dxa"/>
            </w:tcMar>
            <w:hideMark/>
          </w:tcPr>
          <w:p w14:paraId="5AED22A5" w14:textId="7E3CF299" w:rsidR="006306B1" w:rsidRDefault="00D23153">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Wheelers Hill</w:t>
            </w:r>
          </w:p>
        </w:tc>
        <w:tc>
          <w:tcPr>
            <w:tcW w:w="2152"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5656F57F" w14:textId="06EC9775" w:rsidR="006306B1" w:rsidRDefault="00D23153">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August 24</w:t>
            </w:r>
            <w:r w:rsidRPr="00D23153">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w:t>
            </w:r>
            <w:r w:rsidR="006306B1">
              <w:rPr>
                <w:rFonts w:ascii="Arial" w:hAnsi="Arial" w:cs="Arial"/>
                <w:color w:val="666666"/>
                <w:sz w:val="20"/>
                <w:szCs w:val="20"/>
                <w:lang w:eastAsia="en-AU"/>
              </w:rPr>
              <w:t>2018</w:t>
            </w:r>
          </w:p>
        </w:tc>
        <w:tc>
          <w:tcPr>
            <w:tcW w:w="2693"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6114F601" w14:textId="2AEECC61" w:rsidR="006306B1" w:rsidRDefault="00A82FA5">
            <w:pPr>
              <w:spacing w:after="0" w:line="240" w:lineRule="auto"/>
            </w:pPr>
            <w:hyperlink r:id="rId9" w:history="1"/>
            <w:r w:rsidR="006306B1">
              <w:t xml:space="preserve"> </w:t>
            </w:r>
            <w:hyperlink r:id="rId10" w:history="1">
              <w:r w:rsidR="00D23153" w:rsidRPr="00D23153">
                <w:rPr>
                  <w:rStyle w:val="Hyperlink"/>
                </w:rPr>
                <w:t>Wheelers Hill</w:t>
              </w:r>
            </w:hyperlink>
          </w:p>
        </w:tc>
      </w:tr>
      <w:tr w:rsidR="006306B1" w14:paraId="180A7A94" w14:textId="77777777" w:rsidTr="00A660A6">
        <w:tc>
          <w:tcPr>
            <w:tcW w:w="3367" w:type="dxa"/>
            <w:tcBorders>
              <w:top w:val="nil"/>
              <w:left w:val="single" w:sz="8" w:space="0" w:color="005594"/>
              <w:bottom w:val="single" w:sz="4" w:space="0" w:color="auto"/>
              <w:right w:val="single" w:sz="8" w:space="0" w:color="005594"/>
            </w:tcBorders>
            <w:shd w:val="clear" w:color="auto" w:fill="FFFFFF"/>
            <w:tcMar>
              <w:top w:w="105" w:type="dxa"/>
              <w:left w:w="75" w:type="dxa"/>
              <w:bottom w:w="90" w:type="dxa"/>
              <w:right w:w="75" w:type="dxa"/>
            </w:tcMar>
            <w:hideMark/>
          </w:tcPr>
          <w:p w14:paraId="1F306565" w14:textId="62C7AFE4" w:rsidR="006306B1" w:rsidRDefault="00D23153">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Horsham</w:t>
            </w:r>
          </w:p>
        </w:tc>
        <w:tc>
          <w:tcPr>
            <w:tcW w:w="2152" w:type="dxa"/>
            <w:tcBorders>
              <w:top w:val="nil"/>
              <w:left w:val="nil"/>
              <w:bottom w:val="single" w:sz="4" w:space="0" w:color="auto"/>
              <w:right w:val="single" w:sz="8" w:space="0" w:color="005594"/>
            </w:tcBorders>
            <w:shd w:val="clear" w:color="auto" w:fill="FFFFFF"/>
            <w:tcMar>
              <w:top w:w="105" w:type="dxa"/>
              <w:left w:w="75" w:type="dxa"/>
              <w:bottom w:w="90" w:type="dxa"/>
              <w:right w:w="75" w:type="dxa"/>
            </w:tcMar>
            <w:hideMark/>
          </w:tcPr>
          <w:p w14:paraId="1EAE8E10" w14:textId="5E91A665" w:rsidR="006306B1" w:rsidRDefault="00D23153">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August 29</w:t>
            </w:r>
            <w:r w:rsidRPr="00D23153">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w:t>
            </w:r>
            <w:r w:rsidR="006306B1">
              <w:rPr>
                <w:rFonts w:ascii="Arial" w:hAnsi="Arial" w:cs="Arial"/>
                <w:color w:val="666666"/>
                <w:sz w:val="20"/>
                <w:szCs w:val="20"/>
                <w:lang w:eastAsia="en-AU"/>
              </w:rPr>
              <w:t>2018</w:t>
            </w:r>
          </w:p>
        </w:tc>
        <w:tc>
          <w:tcPr>
            <w:tcW w:w="2693" w:type="dxa"/>
            <w:tcBorders>
              <w:top w:val="nil"/>
              <w:left w:val="nil"/>
              <w:bottom w:val="single" w:sz="4" w:space="0" w:color="auto"/>
              <w:right w:val="single" w:sz="8" w:space="0" w:color="005594"/>
            </w:tcBorders>
            <w:shd w:val="clear" w:color="auto" w:fill="FFFFFF"/>
            <w:tcMar>
              <w:top w:w="105" w:type="dxa"/>
              <w:left w:w="75" w:type="dxa"/>
              <w:bottom w:w="90" w:type="dxa"/>
              <w:right w:w="75" w:type="dxa"/>
            </w:tcMar>
            <w:hideMark/>
          </w:tcPr>
          <w:p w14:paraId="298CC266" w14:textId="784EF929" w:rsidR="006306B1" w:rsidRDefault="00A82FA5">
            <w:pPr>
              <w:spacing w:after="0" w:line="240" w:lineRule="auto"/>
              <w:rPr>
                <w:rFonts w:ascii="Arial" w:hAnsi="Arial" w:cs="Arial"/>
                <w:color w:val="666666"/>
                <w:sz w:val="20"/>
                <w:szCs w:val="20"/>
                <w:lang w:eastAsia="en-AU"/>
              </w:rPr>
            </w:pPr>
            <w:hyperlink r:id="rId11" w:history="1">
              <w:r w:rsidR="00D23153" w:rsidRPr="00D23153">
                <w:rPr>
                  <w:rStyle w:val="Hyperlink"/>
                  <w:rFonts w:ascii="Arial" w:hAnsi="Arial" w:cs="Arial"/>
                  <w:sz w:val="20"/>
                  <w:szCs w:val="20"/>
                  <w:lang w:eastAsia="en-AU"/>
                </w:rPr>
                <w:t>Horsham</w:t>
              </w:r>
            </w:hyperlink>
          </w:p>
        </w:tc>
      </w:tr>
      <w:tr w:rsidR="00D23153" w14:paraId="15CA0B7C" w14:textId="77777777" w:rsidTr="00A660A6">
        <w:tc>
          <w:tcPr>
            <w:tcW w:w="3367"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tcPr>
          <w:p w14:paraId="46D12B13" w14:textId="6A1B0202" w:rsidR="00D23153" w:rsidRDefault="00D23153">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Geelong</w:t>
            </w:r>
          </w:p>
        </w:tc>
        <w:tc>
          <w:tcPr>
            <w:tcW w:w="2152"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tcPr>
          <w:p w14:paraId="616E5F27" w14:textId="5C102B95" w:rsidR="00D23153" w:rsidRDefault="00D23153">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September 5</w:t>
            </w:r>
            <w:r w:rsidRPr="00D23153">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2018</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tcPr>
          <w:p w14:paraId="6245408B" w14:textId="558D1A0E" w:rsidR="00D23153" w:rsidRDefault="00A82FA5">
            <w:pPr>
              <w:spacing w:after="0" w:line="240" w:lineRule="auto"/>
              <w:rPr>
                <w:rFonts w:ascii="Arial" w:hAnsi="Arial" w:cs="Arial"/>
                <w:sz w:val="20"/>
                <w:szCs w:val="20"/>
                <w:lang w:eastAsia="en-AU"/>
              </w:rPr>
            </w:pPr>
            <w:hyperlink r:id="rId12" w:history="1">
              <w:r w:rsidR="00D23153" w:rsidRPr="00D23153">
                <w:rPr>
                  <w:rStyle w:val="Hyperlink"/>
                  <w:rFonts w:ascii="Arial" w:hAnsi="Arial" w:cs="Arial"/>
                  <w:sz w:val="20"/>
                  <w:szCs w:val="20"/>
                  <w:lang w:eastAsia="en-AU"/>
                </w:rPr>
                <w:t>Geelong</w:t>
              </w:r>
            </w:hyperlink>
          </w:p>
        </w:tc>
      </w:tr>
      <w:tr w:rsidR="00A660A6" w14:paraId="51743BF3" w14:textId="77777777" w:rsidTr="00A660A6">
        <w:tc>
          <w:tcPr>
            <w:tcW w:w="3367"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tcPr>
          <w:p w14:paraId="34A71AD8" w14:textId="7EBD8618" w:rsidR="00A660A6" w:rsidRDefault="00A660A6">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Frankston</w:t>
            </w:r>
          </w:p>
        </w:tc>
        <w:tc>
          <w:tcPr>
            <w:tcW w:w="2152"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tcPr>
          <w:p w14:paraId="09BDB121" w14:textId="2752340D" w:rsidR="00A660A6" w:rsidRDefault="00A660A6">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September 7</w:t>
            </w:r>
            <w:r w:rsidRPr="00A660A6">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2018</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5" w:type="dxa"/>
              <w:left w:w="75" w:type="dxa"/>
              <w:bottom w:w="90" w:type="dxa"/>
              <w:right w:w="75" w:type="dxa"/>
            </w:tcMar>
          </w:tcPr>
          <w:p w14:paraId="4D40FE9A" w14:textId="35B54671" w:rsidR="00A660A6" w:rsidRDefault="00A82FA5">
            <w:pPr>
              <w:spacing w:after="0" w:line="240" w:lineRule="auto"/>
              <w:rPr>
                <w:rFonts w:ascii="Arial" w:hAnsi="Arial" w:cs="Arial"/>
                <w:sz w:val="20"/>
                <w:szCs w:val="20"/>
                <w:lang w:eastAsia="en-AU"/>
              </w:rPr>
            </w:pPr>
            <w:hyperlink r:id="rId13" w:history="1">
              <w:r w:rsidR="00A660A6" w:rsidRPr="00A660A6">
                <w:rPr>
                  <w:rStyle w:val="Hyperlink"/>
                  <w:rFonts w:ascii="Arial" w:hAnsi="Arial" w:cs="Arial"/>
                  <w:sz w:val="20"/>
                  <w:szCs w:val="20"/>
                  <w:lang w:eastAsia="en-AU"/>
                </w:rPr>
                <w:t>Frankston</w:t>
              </w:r>
            </w:hyperlink>
          </w:p>
        </w:tc>
      </w:tr>
    </w:tbl>
    <w:p w14:paraId="650D4A18" w14:textId="77777777" w:rsidR="006306B1" w:rsidRDefault="006306B1" w:rsidP="006306B1"/>
    <w:tbl>
      <w:tblPr>
        <w:tblW w:w="4559" w:type="pct"/>
        <w:shd w:val="clear" w:color="auto" w:fill="FFFFFF"/>
        <w:tblCellMar>
          <w:left w:w="0" w:type="dxa"/>
          <w:right w:w="0" w:type="dxa"/>
        </w:tblCellMar>
        <w:tblLook w:val="04A0" w:firstRow="1" w:lastRow="0" w:firstColumn="1" w:lastColumn="0" w:noHBand="0" w:noVBand="1"/>
      </w:tblPr>
      <w:tblGrid>
        <w:gridCol w:w="3393"/>
        <w:gridCol w:w="2126"/>
        <w:gridCol w:w="2693"/>
      </w:tblGrid>
      <w:tr w:rsidR="006306B1" w14:paraId="2C19ADDC" w14:textId="77777777" w:rsidTr="00A660A6">
        <w:tc>
          <w:tcPr>
            <w:tcW w:w="3393" w:type="dxa"/>
            <w:tcBorders>
              <w:top w:val="single" w:sz="8" w:space="0" w:color="005594"/>
              <w:left w:val="single" w:sz="8" w:space="0" w:color="005594"/>
              <w:bottom w:val="single" w:sz="8" w:space="0" w:color="005594"/>
              <w:right w:val="single" w:sz="8" w:space="0" w:color="005594"/>
            </w:tcBorders>
            <w:shd w:val="clear" w:color="auto" w:fill="005594"/>
            <w:tcMar>
              <w:top w:w="105" w:type="dxa"/>
              <w:left w:w="75" w:type="dxa"/>
              <w:bottom w:w="90" w:type="dxa"/>
              <w:right w:w="75" w:type="dxa"/>
            </w:tcMar>
            <w:hideMark/>
          </w:tcPr>
          <w:p w14:paraId="49E05BC0" w14:textId="77777777" w:rsidR="006306B1" w:rsidRDefault="006306B1">
            <w:pPr>
              <w:spacing w:after="0" w:line="240" w:lineRule="auto"/>
              <w:rPr>
                <w:rFonts w:ascii="Arial" w:hAnsi="Arial" w:cs="Arial"/>
                <w:color w:val="FFFFFF"/>
                <w:sz w:val="20"/>
                <w:szCs w:val="20"/>
                <w:lang w:eastAsia="en-AU"/>
              </w:rPr>
            </w:pPr>
            <w:r>
              <w:rPr>
                <w:rFonts w:ascii="Arial" w:hAnsi="Arial" w:cs="Arial"/>
                <w:b/>
                <w:bCs/>
                <w:color w:val="FFFFFF"/>
                <w:sz w:val="20"/>
                <w:szCs w:val="20"/>
                <w:lang w:eastAsia="en-AU"/>
              </w:rPr>
              <w:t>“Next Steps” Workshops</w:t>
            </w:r>
          </w:p>
        </w:tc>
        <w:tc>
          <w:tcPr>
            <w:tcW w:w="2126" w:type="dxa"/>
            <w:tcBorders>
              <w:top w:val="single" w:sz="8" w:space="0" w:color="005594"/>
              <w:left w:val="nil"/>
              <w:bottom w:val="single" w:sz="8" w:space="0" w:color="005594"/>
              <w:right w:val="single" w:sz="8" w:space="0" w:color="005594"/>
            </w:tcBorders>
            <w:shd w:val="clear" w:color="auto" w:fill="005594"/>
            <w:tcMar>
              <w:top w:w="105" w:type="dxa"/>
              <w:left w:w="75" w:type="dxa"/>
              <w:bottom w:w="90" w:type="dxa"/>
              <w:right w:w="75" w:type="dxa"/>
            </w:tcMar>
            <w:hideMark/>
          </w:tcPr>
          <w:p w14:paraId="3F2CB735" w14:textId="77777777" w:rsidR="006306B1" w:rsidRDefault="006306B1">
            <w:pPr>
              <w:spacing w:after="0" w:line="240" w:lineRule="auto"/>
              <w:rPr>
                <w:rFonts w:ascii="Arial" w:hAnsi="Arial" w:cs="Arial"/>
                <w:color w:val="FFFFFF"/>
                <w:sz w:val="20"/>
                <w:szCs w:val="20"/>
                <w:lang w:eastAsia="en-AU"/>
              </w:rPr>
            </w:pPr>
            <w:r>
              <w:rPr>
                <w:rFonts w:ascii="Arial" w:hAnsi="Arial" w:cs="Arial"/>
                <w:b/>
                <w:bCs/>
                <w:color w:val="FFFFFF"/>
                <w:sz w:val="20"/>
                <w:szCs w:val="20"/>
                <w:lang w:eastAsia="en-AU"/>
              </w:rPr>
              <w:t>Date</w:t>
            </w:r>
          </w:p>
        </w:tc>
        <w:tc>
          <w:tcPr>
            <w:tcW w:w="2693" w:type="dxa"/>
            <w:tcBorders>
              <w:top w:val="single" w:sz="8" w:space="0" w:color="005594"/>
              <w:left w:val="nil"/>
              <w:bottom w:val="single" w:sz="8" w:space="0" w:color="005594"/>
              <w:right w:val="single" w:sz="8" w:space="0" w:color="005594"/>
            </w:tcBorders>
            <w:shd w:val="clear" w:color="auto" w:fill="005594"/>
            <w:tcMar>
              <w:top w:w="105" w:type="dxa"/>
              <w:left w:w="75" w:type="dxa"/>
              <w:bottom w:w="90" w:type="dxa"/>
              <w:right w:w="75" w:type="dxa"/>
            </w:tcMar>
            <w:hideMark/>
          </w:tcPr>
          <w:p w14:paraId="317D39A8" w14:textId="77777777" w:rsidR="006306B1" w:rsidRDefault="006306B1">
            <w:pPr>
              <w:spacing w:after="0" w:line="240" w:lineRule="auto"/>
              <w:rPr>
                <w:rFonts w:ascii="Arial" w:hAnsi="Arial" w:cs="Arial"/>
                <w:color w:val="FFFFFF"/>
                <w:sz w:val="20"/>
                <w:szCs w:val="20"/>
                <w:lang w:eastAsia="en-AU"/>
              </w:rPr>
            </w:pPr>
            <w:r>
              <w:rPr>
                <w:rFonts w:ascii="Arial" w:hAnsi="Arial" w:cs="Arial"/>
                <w:b/>
                <w:bCs/>
                <w:color w:val="FFFFFF"/>
                <w:sz w:val="20"/>
                <w:szCs w:val="20"/>
                <w:lang w:eastAsia="en-AU"/>
              </w:rPr>
              <w:t>Booking Link</w:t>
            </w:r>
          </w:p>
        </w:tc>
      </w:tr>
      <w:tr w:rsidR="006306B1" w14:paraId="77D5D691" w14:textId="77777777" w:rsidTr="00A660A6">
        <w:tc>
          <w:tcPr>
            <w:tcW w:w="3393" w:type="dxa"/>
            <w:tcBorders>
              <w:top w:val="nil"/>
              <w:left w:val="single" w:sz="8" w:space="0" w:color="005594"/>
              <w:bottom w:val="single" w:sz="8" w:space="0" w:color="005594"/>
              <w:right w:val="single" w:sz="8" w:space="0" w:color="005594"/>
            </w:tcBorders>
            <w:shd w:val="clear" w:color="auto" w:fill="FFFFFF"/>
            <w:tcMar>
              <w:top w:w="105" w:type="dxa"/>
              <w:left w:w="75" w:type="dxa"/>
              <w:bottom w:w="90" w:type="dxa"/>
              <w:right w:w="75" w:type="dxa"/>
            </w:tcMar>
            <w:hideMark/>
          </w:tcPr>
          <w:p w14:paraId="702FA3DD" w14:textId="15C50037" w:rsidR="006306B1" w:rsidRDefault="006306B1">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Flemington</w:t>
            </w:r>
          </w:p>
        </w:tc>
        <w:tc>
          <w:tcPr>
            <w:tcW w:w="2126"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6EAE5868" w14:textId="56908F03" w:rsidR="006306B1" w:rsidRDefault="006306B1">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August 22</w:t>
            </w:r>
            <w:r w:rsidRPr="006306B1">
              <w:rPr>
                <w:rFonts w:ascii="Arial" w:hAnsi="Arial" w:cs="Arial"/>
                <w:color w:val="666666"/>
                <w:sz w:val="20"/>
                <w:szCs w:val="20"/>
                <w:vertAlign w:val="superscript"/>
                <w:lang w:eastAsia="en-AU"/>
              </w:rPr>
              <w:t>nd</w:t>
            </w:r>
            <w:r>
              <w:rPr>
                <w:rFonts w:ascii="Arial" w:hAnsi="Arial" w:cs="Arial"/>
                <w:color w:val="666666"/>
                <w:sz w:val="20"/>
                <w:szCs w:val="20"/>
                <w:lang w:eastAsia="en-AU"/>
              </w:rPr>
              <w:t xml:space="preserve"> 2018</w:t>
            </w:r>
          </w:p>
        </w:tc>
        <w:tc>
          <w:tcPr>
            <w:tcW w:w="2693"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31828930" w14:textId="508F2F36" w:rsidR="006306B1" w:rsidRDefault="00A82FA5">
            <w:pPr>
              <w:spacing w:after="0" w:line="240" w:lineRule="auto"/>
              <w:rPr>
                <w:rFonts w:ascii="Arial" w:hAnsi="Arial" w:cs="Arial"/>
                <w:color w:val="666666"/>
                <w:sz w:val="20"/>
                <w:szCs w:val="20"/>
                <w:lang w:eastAsia="en-AU"/>
              </w:rPr>
            </w:pPr>
            <w:hyperlink r:id="rId14" w:history="1">
              <w:r w:rsidR="006306B1">
                <w:rPr>
                  <w:rStyle w:val="Hyperlink"/>
                  <w:rFonts w:ascii="Arial" w:hAnsi="Arial" w:cs="Arial"/>
                  <w:sz w:val="20"/>
                  <w:szCs w:val="20"/>
                  <w:lang w:eastAsia="en-AU"/>
                </w:rPr>
                <w:t>Flemington</w:t>
              </w:r>
            </w:hyperlink>
          </w:p>
        </w:tc>
      </w:tr>
      <w:tr w:rsidR="006306B1" w14:paraId="5A636870" w14:textId="77777777" w:rsidTr="00A660A6">
        <w:tc>
          <w:tcPr>
            <w:tcW w:w="3393" w:type="dxa"/>
            <w:tcBorders>
              <w:top w:val="nil"/>
              <w:left w:val="single" w:sz="8" w:space="0" w:color="005594"/>
              <w:bottom w:val="single" w:sz="8" w:space="0" w:color="005594"/>
              <w:right w:val="single" w:sz="8" w:space="0" w:color="005594"/>
            </w:tcBorders>
            <w:shd w:val="clear" w:color="auto" w:fill="FFFFFF"/>
            <w:tcMar>
              <w:top w:w="105" w:type="dxa"/>
              <w:left w:w="75" w:type="dxa"/>
              <w:bottom w:w="90" w:type="dxa"/>
              <w:right w:w="75" w:type="dxa"/>
            </w:tcMar>
            <w:hideMark/>
          </w:tcPr>
          <w:p w14:paraId="61957A9A" w14:textId="2A12E357" w:rsidR="006306B1" w:rsidRDefault="00A660A6">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Benalla</w:t>
            </w:r>
          </w:p>
        </w:tc>
        <w:tc>
          <w:tcPr>
            <w:tcW w:w="2126"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3E8D3E96" w14:textId="294583EF" w:rsidR="006306B1" w:rsidRDefault="00A660A6">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September 12</w:t>
            </w:r>
            <w:r w:rsidRPr="00A660A6">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w:t>
            </w:r>
            <w:r w:rsidR="006306B1">
              <w:rPr>
                <w:rFonts w:ascii="Arial" w:hAnsi="Arial" w:cs="Arial"/>
                <w:color w:val="666666"/>
                <w:sz w:val="20"/>
                <w:szCs w:val="20"/>
                <w:lang w:eastAsia="en-AU"/>
              </w:rPr>
              <w:t>2018</w:t>
            </w:r>
          </w:p>
        </w:tc>
        <w:tc>
          <w:tcPr>
            <w:tcW w:w="2693"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4BA6D5C3" w14:textId="64A54D2A" w:rsidR="006306B1" w:rsidRDefault="00A82FA5">
            <w:pPr>
              <w:spacing w:after="0" w:line="240" w:lineRule="auto"/>
              <w:rPr>
                <w:rFonts w:ascii="Arial" w:hAnsi="Arial" w:cs="Arial"/>
                <w:color w:val="666666"/>
                <w:sz w:val="20"/>
                <w:szCs w:val="20"/>
                <w:lang w:eastAsia="en-AU"/>
              </w:rPr>
            </w:pPr>
            <w:hyperlink r:id="rId15" w:history="1">
              <w:r w:rsidR="00A660A6" w:rsidRPr="00A660A6">
                <w:rPr>
                  <w:rStyle w:val="Hyperlink"/>
                </w:rPr>
                <w:t>Benalla</w:t>
              </w:r>
            </w:hyperlink>
          </w:p>
        </w:tc>
      </w:tr>
      <w:tr w:rsidR="006306B1" w14:paraId="29929068" w14:textId="77777777" w:rsidTr="00A660A6">
        <w:tc>
          <w:tcPr>
            <w:tcW w:w="3393" w:type="dxa"/>
            <w:tcBorders>
              <w:top w:val="nil"/>
              <w:left w:val="single" w:sz="8" w:space="0" w:color="005594"/>
              <w:bottom w:val="single" w:sz="8" w:space="0" w:color="005594"/>
              <w:right w:val="single" w:sz="8" w:space="0" w:color="005594"/>
            </w:tcBorders>
            <w:shd w:val="clear" w:color="auto" w:fill="FFFFFF"/>
            <w:tcMar>
              <w:top w:w="105" w:type="dxa"/>
              <w:left w:w="75" w:type="dxa"/>
              <w:bottom w:w="90" w:type="dxa"/>
              <w:right w:w="75" w:type="dxa"/>
            </w:tcMar>
            <w:hideMark/>
          </w:tcPr>
          <w:p w14:paraId="32AA7F48" w14:textId="504A3822" w:rsidR="006306B1" w:rsidRDefault="00A660A6">
            <w:pPr>
              <w:spacing w:after="0" w:line="240" w:lineRule="auto"/>
              <w:jc w:val="center"/>
              <w:rPr>
                <w:rFonts w:ascii="Arial" w:hAnsi="Arial" w:cs="Arial"/>
                <w:color w:val="666666"/>
                <w:sz w:val="20"/>
                <w:szCs w:val="20"/>
                <w:lang w:eastAsia="en-AU"/>
              </w:rPr>
            </w:pPr>
            <w:r>
              <w:rPr>
                <w:rFonts w:ascii="Arial" w:hAnsi="Arial" w:cs="Arial"/>
                <w:color w:val="666666"/>
                <w:sz w:val="20"/>
                <w:szCs w:val="20"/>
                <w:lang w:eastAsia="en-AU"/>
              </w:rPr>
              <w:t>Moe</w:t>
            </w:r>
          </w:p>
        </w:tc>
        <w:tc>
          <w:tcPr>
            <w:tcW w:w="2126"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51E1CAE4" w14:textId="673D3DFE" w:rsidR="006306B1" w:rsidRDefault="00A660A6">
            <w:pPr>
              <w:spacing w:after="0" w:line="240" w:lineRule="auto"/>
              <w:rPr>
                <w:rFonts w:ascii="Arial" w:hAnsi="Arial" w:cs="Arial"/>
                <w:color w:val="666666"/>
                <w:sz w:val="20"/>
                <w:szCs w:val="20"/>
                <w:lang w:eastAsia="en-AU"/>
              </w:rPr>
            </w:pPr>
            <w:r>
              <w:rPr>
                <w:rFonts w:ascii="Arial" w:hAnsi="Arial" w:cs="Arial"/>
                <w:color w:val="666666"/>
                <w:sz w:val="20"/>
                <w:szCs w:val="20"/>
                <w:lang w:eastAsia="en-AU"/>
              </w:rPr>
              <w:t>September 19</w:t>
            </w:r>
            <w:r w:rsidRPr="00A660A6">
              <w:rPr>
                <w:rFonts w:ascii="Arial" w:hAnsi="Arial" w:cs="Arial"/>
                <w:color w:val="666666"/>
                <w:sz w:val="20"/>
                <w:szCs w:val="20"/>
                <w:vertAlign w:val="superscript"/>
                <w:lang w:eastAsia="en-AU"/>
              </w:rPr>
              <w:t>th</w:t>
            </w:r>
            <w:r>
              <w:rPr>
                <w:rFonts w:ascii="Arial" w:hAnsi="Arial" w:cs="Arial"/>
                <w:color w:val="666666"/>
                <w:sz w:val="20"/>
                <w:szCs w:val="20"/>
                <w:lang w:eastAsia="en-AU"/>
              </w:rPr>
              <w:t xml:space="preserve"> </w:t>
            </w:r>
            <w:r w:rsidR="006306B1">
              <w:rPr>
                <w:rFonts w:ascii="Arial" w:hAnsi="Arial" w:cs="Arial"/>
                <w:color w:val="666666"/>
                <w:sz w:val="20"/>
                <w:szCs w:val="20"/>
                <w:lang w:eastAsia="en-AU"/>
              </w:rPr>
              <w:t>2018</w:t>
            </w:r>
          </w:p>
        </w:tc>
        <w:tc>
          <w:tcPr>
            <w:tcW w:w="2693" w:type="dxa"/>
            <w:tcBorders>
              <w:top w:val="nil"/>
              <w:left w:val="nil"/>
              <w:bottom w:val="single" w:sz="8" w:space="0" w:color="005594"/>
              <w:right w:val="single" w:sz="8" w:space="0" w:color="005594"/>
            </w:tcBorders>
            <w:shd w:val="clear" w:color="auto" w:fill="FFFFFF"/>
            <w:tcMar>
              <w:top w:w="105" w:type="dxa"/>
              <w:left w:w="75" w:type="dxa"/>
              <w:bottom w:w="90" w:type="dxa"/>
              <w:right w:w="75" w:type="dxa"/>
            </w:tcMar>
            <w:hideMark/>
          </w:tcPr>
          <w:p w14:paraId="5E316F95" w14:textId="25E31BEB" w:rsidR="006306B1" w:rsidRDefault="00A82FA5">
            <w:pPr>
              <w:spacing w:after="0" w:line="240" w:lineRule="auto"/>
            </w:pPr>
            <w:hyperlink r:id="rId16" w:history="1"/>
            <w:r w:rsidR="006306B1">
              <w:t xml:space="preserve"> </w:t>
            </w:r>
            <w:hyperlink r:id="rId17" w:history="1">
              <w:r w:rsidR="00A660A6" w:rsidRPr="00A660A6">
                <w:rPr>
                  <w:rStyle w:val="Hyperlink"/>
                </w:rPr>
                <w:t>Moe</w:t>
              </w:r>
            </w:hyperlink>
          </w:p>
        </w:tc>
      </w:tr>
    </w:tbl>
    <w:p w14:paraId="41D69B16" w14:textId="77777777" w:rsidR="006306B1" w:rsidRDefault="006306B1" w:rsidP="006306B1"/>
    <w:p w14:paraId="61087A60" w14:textId="77777777" w:rsidR="00651CA1" w:rsidRDefault="00651CA1"/>
    <w:sectPr w:rsidR="00651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6565F"/>
    <w:multiLevelType w:val="hybridMultilevel"/>
    <w:tmpl w:val="3ED83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B1"/>
    <w:rsid w:val="00050E00"/>
    <w:rsid w:val="000648DD"/>
    <w:rsid w:val="0007103B"/>
    <w:rsid w:val="00077EFA"/>
    <w:rsid w:val="00080C41"/>
    <w:rsid w:val="00081660"/>
    <w:rsid w:val="000B389B"/>
    <w:rsid w:val="000D653B"/>
    <w:rsid w:val="0010404D"/>
    <w:rsid w:val="001365B9"/>
    <w:rsid w:val="0015473E"/>
    <w:rsid w:val="001A113E"/>
    <w:rsid w:val="001B6F7E"/>
    <w:rsid w:val="001E0E5B"/>
    <w:rsid w:val="001F3D0F"/>
    <w:rsid w:val="002209A7"/>
    <w:rsid w:val="002833CF"/>
    <w:rsid w:val="002A08DF"/>
    <w:rsid w:val="002E2AF8"/>
    <w:rsid w:val="00352CC9"/>
    <w:rsid w:val="00354ACA"/>
    <w:rsid w:val="00354D42"/>
    <w:rsid w:val="00357998"/>
    <w:rsid w:val="00365EDB"/>
    <w:rsid w:val="00366DCA"/>
    <w:rsid w:val="00372D5B"/>
    <w:rsid w:val="00375F3F"/>
    <w:rsid w:val="003D5C21"/>
    <w:rsid w:val="0048153C"/>
    <w:rsid w:val="004B0302"/>
    <w:rsid w:val="004D3654"/>
    <w:rsid w:val="004E3CBC"/>
    <w:rsid w:val="005114B0"/>
    <w:rsid w:val="00523D22"/>
    <w:rsid w:val="005547CF"/>
    <w:rsid w:val="005F0AEF"/>
    <w:rsid w:val="00614B55"/>
    <w:rsid w:val="00614E9B"/>
    <w:rsid w:val="006306B1"/>
    <w:rsid w:val="00651CA1"/>
    <w:rsid w:val="00652CCB"/>
    <w:rsid w:val="006735FB"/>
    <w:rsid w:val="00723F77"/>
    <w:rsid w:val="007F7BC1"/>
    <w:rsid w:val="008303B8"/>
    <w:rsid w:val="008362A9"/>
    <w:rsid w:val="00863240"/>
    <w:rsid w:val="008A0EA5"/>
    <w:rsid w:val="008D4714"/>
    <w:rsid w:val="00916213"/>
    <w:rsid w:val="0091662D"/>
    <w:rsid w:val="009411A7"/>
    <w:rsid w:val="0095119B"/>
    <w:rsid w:val="00954EAE"/>
    <w:rsid w:val="00972205"/>
    <w:rsid w:val="00973A30"/>
    <w:rsid w:val="00982288"/>
    <w:rsid w:val="009C2713"/>
    <w:rsid w:val="009C664C"/>
    <w:rsid w:val="00A14EDE"/>
    <w:rsid w:val="00A33DA3"/>
    <w:rsid w:val="00A35E12"/>
    <w:rsid w:val="00A660A6"/>
    <w:rsid w:val="00A82FA5"/>
    <w:rsid w:val="00A8664D"/>
    <w:rsid w:val="00AA7AFA"/>
    <w:rsid w:val="00AD3EAF"/>
    <w:rsid w:val="00B16419"/>
    <w:rsid w:val="00B35A07"/>
    <w:rsid w:val="00B949E6"/>
    <w:rsid w:val="00BE0441"/>
    <w:rsid w:val="00BF1296"/>
    <w:rsid w:val="00C01C6C"/>
    <w:rsid w:val="00C5018B"/>
    <w:rsid w:val="00C54FFA"/>
    <w:rsid w:val="00C836AC"/>
    <w:rsid w:val="00D23153"/>
    <w:rsid w:val="00D40373"/>
    <w:rsid w:val="00D525D6"/>
    <w:rsid w:val="00D81C9B"/>
    <w:rsid w:val="00D92A8E"/>
    <w:rsid w:val="00D95B10"/>
    <w:rsid w:val="00DB3B0D"/>
    <w:rsid w:val="00DD33DB"/>
    <w:rsid w:val="00DD3E7B"/>
    <w:rsid w:val="00DF494D"/>
    <w:rsid w:val="00E5078D"/>
    <w:rsid w:val="00E51B57"/>
    <w:rsid w:val="00E7702B"/>
    <w:rsid w:val="00EC00E8"/>
    <w:rsid w:val="00ED7973"/>
    <w:rsid w:val="00F42A49"/>
    <w:rsid w:val="00F550D1"/>
    <w:rsid w:val="00F64E09"/>
    <w:rsid w:val="00FA3923"/>
    <w:rsid w:val="00FA7EBF"/>
    <w:rsid w:val="00FD5FC2"/>
    <w:rsid w:val="00FF1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3C60"/>
  <w15:chartTrackingRefBased/>
  <w15:docId w15:val="{F5E2BAD5-2EB4-429E-837E-7DD9A0B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B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B1"/>
    <w:rPr>
      <w:color w:val="0000FF"/>
      <w:u w:val="single"/>
    </w:rPr>
  </w:style>
  <w:style w:type="character" w:customStyle="1" w:styleId="UnresolvedMention">
    <w:name w:val="Unresolved Mention"/>
    <w:basedOn w:val="DefaultParagraphFont"/>
    <w:uiPriority w:val="99"/>
    <w:semiHidden/>
    <w:unhideWhenUsed/>
    <w:rsid w:val="006306B1"/>
    <w:rPr>
      <w:color w:val="605E5C"/>
      <w:shd w:val="clear" w:color="auto" w:fill="E1DFDD"/>
    </w:rPr>
  </w:style>
  <w:style w:type="character" w:styleId="FollowedHyperlink">
    <w:name w:val="FollowedHyperlink"/>
    <w:basedOn w:val="DefaultParagraphFont"/>
    <w:uiPriority w:val="99"/>
    <w:semiHidden/>
    <w:unhideWhenUsed/>
    <w:rsid w:val="00D23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august-21st-ict-planning-workshop-flemington-tickets-46785396380" TargetMode="External"/><Relationship Id="rId13" Type="http://schemas.openxmlformats.org/officeDocument/2006/relationships/hyperlink" Target="https://www.eventbrite.com.au/e/september-7th-ict-planning-workshop-frankston-tickets-477531639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au/e/august-16th-ict-planning-workshop-sevr-moe-regional-office-tickets-48114841787" TargetMode="External"/><Relationship Id="rId12" Type="http://schemas.openxmlformats.org/officeDocument/2006/relationships/hyperlink" Target="https://www.eventbrite.com.au/e/september-5th-ict-planning-workshop-corio-geelong-industry-trade-training-centre-tickets-48152537536" TargetMode="External"/><Relationship Id="rId17" Type="http://schemas.openxmlformats.org/officeDocument/2006/relationships/hyperlink" Target="https://www.eventbrite.com.au/e/september-19th-ict-planning-next-steps-workshop-sevr-moe-regional-office-tickets-48152044060" TargetMode="External"/><Relationship Id="rId2" Type="http://schemas.openxmlformats.org/officeDocument/2006/relationships/styles" Target="styles.xml"/><Relationship Id="rId16" Type="http://schemas.openxmlformats.org/officeDocument/2006/relationships/hyperlink" Target="https://www.eventbrite.com.au/e/may-25th-ict-planning-workshop-next-steps-corio-tickets-45459983033" TargetMode="External"/><Relationship Id="rId1" Type="http://schemas.openxmlformats.org/officeDocument/2006/relationships/numbering" Target="numbering.xml"/><Relationship Id="rId6" Type="http://schemas.openxmlformats.org/officeDocument/2006/relationships/hyperlink" Target="http://fuse.education.vic.gov.au/?XH7FW9" TargetMode="External"/><Relationship Id="rId11" Type="http://schemas.openxmlformats.org/officeDocument/2006/relationships/hyperlink" Target="https://www.eventbrite.com.au/e/august-29th-ict-planning-workshop-horsham-tickets-48152428209" TargetMode="External"/><Relationship Id="rId5" Type="http://schemas.openxmlformats.org/officeDocument/2006/relationships/hyperlink" Target="https://apps.edustar.vic.edu.au/prism" TargetMode="External"/><Relationship Id="rId15" Type="http://schemas.openxmlformats.org/officeDocument/2006/relationships/hyperlink" Target="https://www.eventbrite.com.au/e/september-12th-ict-planning-next-steps-workshop-benalla-ro-tickets-48154426185" TargetMode="External"/><Relationship Id="rId10" Type="http://schemas.openxmlformats.org/officeDocument/2006/relationships/hyperlink" Target="https://www.eventbrite.com.au/e/august-24-ict-planning-workshop-monash-special-developmental-school-tickets-481535916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m.au/e/june-19th-ict-planning-standard-workshop-jean-russell-centre-nossal-high-school-berwick-tickets-45459681130" TargetMode="External"/><Relationship Id="rId14" Type="http://schemas.openxmlformats.org/officeDocument/2006/relationships/hyperlink" Target="https://www.eventbrite.com.au/e/august-22nd-ict-planning-workshop-next-steps-flemington-tickets-46785131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Houlden</dc:creator>
  <cp:keywords/>
  <dc:description/>
  <cp:lastModifiedBy>Crellin, Rachel A</cp:lastModifiedBy>
  <cp:revision>3</cp:revision>
  <dcterms:created xsi:type="dcterms:W3CDTF">2018-06-30T05:49:00Z</dcterms:created>
  <dcterms:modified xsi:type="dcterms:W3CDTF">2018-07-19T04:51:00Z</dcterms:modified>
</cp:coreProperties>
</file>